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0FBCD63C" w:rsidR="006573ED" w:rsidRPr="00CF7983" w:rsidRDefault="00CF7983">
      <w:pPr>
        <w:rPr>
          <w:b/>
        </w:rPr>
      </w:pPr>
      <w:r w:rsidRPr="00CF7983">
        <w:rPr>
          <w:b/>
        </w:rPr>
        <w:t>INTERACTIVIDAD</w:t>
      </w:r>
      <w:r w:rsidR="001836C1">
        <w:rPr>
          <w:b/>
        </w:rPr>
        <w:t xml:space="preserve"> – ACTIVIDAD DE APRENDIZAJE</w:t>
      </w:r>
    </w:p>
    <w:p w14:paraId="051C1645" w14:textId="5EAC0EE4" w:rsidR="00C354CB" w:rsidRDefault="004869D7">
      <w:r>
        <w:t>Falso - Verdadero</w:t>
      </w:r>
    </w:p>
    <w:p w14:paraId="55CD157C" w14:textId="77777777" w:rsidR="00FF07CB" w:rsidRDefault="00FF07CB"/>
    <w:p w14:paraId="3441A0BE" w14:textId="3194CC94" w:rsidR="00CF7983" w:rsidRDefault="00CF7983">
      <w:pPr>
        <w:rPr>
          <w:color w:val="FF0000"/>
        </w:rPr>
      </w:pPr>
      <w:r w:rsidRPr="00CF7983">
        <w:rPr>
          <w:color w:val="FF0000"/>
        </w:rPr>
        <w:t xml:space="preserve">Instrucciones: favor colocar contenido </w:t>
      </w:r>
      <w:r w:rsidR="00FF07CB">
        <w:rPr>
          <w:color w:val="FF0000"/>
        </w:rPr>
        <w:t xml:space="preserve">y apartarlo a la plantilla de FEADIS. </w:t>
      </w:r>
      <w:r w:rsidR="00853C96">
        <w:rPr>
          <w:color w:val="FF0000"/>
        </w:rPr>
        <w:t xml:space="preserve"> </w:t>
      </w:r>
    </w:p>
    <w:p w14:paraId="625FAF00" w14:textId="77777777" w:rsidR="00680F48" w:rsidRDefault="00680F48">
      <w:pPr>
        <w:rPr>
          <w:color w:val="FF0000"/>
        </w:rPr>
      </w:pPr>
    </w:p>
    <w:p w14:paraId="0BC984AB" w14:textId="13816D51" w:rsidR="00680F48" w:rsidRDefault="00680F48">
      <w:pPr>
        <w:rPr>
          <w:color w:val="FF0000"/>
        </w:rPr>
      </w:pPr>
      <w:r>
        <w:rPr>
          <w:color w:val="FF0000"/>
        </w:rPr>
        <w:t xml:space="preserve">Título: </w:t>
      </w:r>
      <w:r w:rsidR="00722FF2" w:rsidRPr="00722FF2">
        <w:rPr>
          <w:b/>
          <w:color w:val="000000" w:themeColor="text1"/>
        </w:rPr>
        <w:t>Construcción de la ciudadanía</w:t>
      </w:r>
    </w:p>
    <w:p w14:paraId="32ECB84C" w14:textId="77777777" w:rsidR="00680F48" w:rsidRDefault="00680F48">
      <w:pPr>
        <w:rPr>
          <w:color w:val="FF0000"/>
        </w:rPr>
      </w:pPr>
    </w:p>
    <w:p w14:paraId="12054198" w14:textId="482FEDD8" w:rsidR="00680F48" w:rsidRDefault="00680F48">
      <w:pPr>
        <w:rPr>
          <w:color w:val="000000" w:themeColor="text1"/>
        </w:rPr>
      </w:pPr>
      <w:r>
        <w:rPr>
          <w:color w:val="FF0000"/>
        </w:rPr>
        <w:t xml:space="preserve">Instrucciones: </w:t>
      </w:r>
      <w:r w:rsidR="00AD3C42">
        <w:rPr>
          <w:color w:val="FF0000"/>
        </w:rPr>
        <w:t xml:space="preserve"> </w:t>
      </w:r>
      <w:r w:rsidR="00AD3C42" w:rsidRPr="00AD3C42">
        <w:rPr>
          <w:color w:val="000000" w:themeColor="text1"/>
        </w:rPr>
        <w:t>Pon a prueba lo aprendido en este módulo de competencias ciudadanas.</w:t>
      </w:r>
      <w:r w:rsidR="00AD3C42">
        <w:rPr>
          <w:color w:val="FF0000"/>
        </w:rPr>
        <w:t xml:space="preserve"> </w:t>
      </w:r>
      <w:r w:rsidR="00AD3C42" w:rsidRPr="00AD3C42">
        <w:rPr>
          <w:color w:val="000000" w:themeColor="text1"/>
        </w:rPr>
        <w:t>Conteste falso o verdadero según lo que considere correcto.</w:t>
      </w:r>
    </w:p>
    <w:p w14:paraId="6C6C6050" w14:textId="77777777" w:rsidR="00680F48" w:rsidRDefault="00680F48">
      <w:pPr>
        <w:rPr>
          <w:color w:val="000000" w:themeColor="text1"/>
        </w:rPr>
      </w:pPr>
    </w:p>
    <w:p w14:paraId="576D9D00" w14:textId="77777777" w:rsidR="002D1066" w:rsidRDefault="002D1066">
      <w:pPr>
        <w:rPr>
          <w:color w:val="000000" w:themeColor="text1"/>
        </w:rPr>
      </w:pPr>
    </w:p>
    <w:p w14:paraId="6E36C33A" w14:textId="77E41B47" w:rsidR="00680F48" w:rsidRDefault="00DE4AD3">
      <w:pPr>
        <w:rPr>
          <w:color w:val="FF0000"/>
        </w:rPr>
      </w:pPr>
      <w:r>
        <w:rPr>
          <w:color w:val="FF0000"/>
        </w:rPr>
        <w:t>Los enunciados</w:t>
      </w:r>
    </w:p>
    <w:p w14:paraId="3D50D509" w14:textId="77777777" w:rsidR="00DE4AD3" w:rsidRDefault="00DE4AD3">
      <w:pPr>
        <w:rPr>
          <w:color w:val="FF0000"/>
        </w:rPr>
      </w:pPr>
    </w:p>
    <w:p w14:paraId="66FC4B5D" w14:textId="48F3B74A" w:rsidR="00DE4AD3" w:rsidRPr="00DE4AD3" w:rsidRDefault="00DE4AD3" w:rsidP="00DE4AD3">
      <w:pPr>
        <w:pStyle w:val="ListParagraph"/>
        <w:numPr>
          <w:ilvl w:val="0"/>
          <w:numId w:val="1"/>
        </w:numPr>
        <w:rPr>
          <w:b/>
          <w:sz w:val="22"/>
          <w:szCs w:val="22"/>
        </w:rPr>
      </w:pPr>
      <w:r w:rsidRPr="00DE4AD3">
        <w:rPr>
          <w:b/>
          <w:sz w:val="22"/>
          <w:szCs w:val="22"/>
        </w:rPr>
        <w:t>Reconocer tanto los derechos como los deberes de todo colombiano proporciona a los sujetos la capacidad de construir, valorar y ejercer en espacios públicos y colectivos la ciudadanía.</w:t>
      </w:r>
    </w:p>
    <w:p w14:paraId="61099DB3" w14:textId="77777777" w:rsidR="00DE4AD3" w:rsidRDefault="00DE4AD3" w:rsidP="00DE4AD3">
      <w:pPr>
        <w:rPr>
          <w:color w:val="FF0000"/>
        </w:rPr>
      </w:pPr>
    </w:p>
    <w:p w14:paraId="4B15EAE0" w14:textId="18AD92EE" w:rsidR="00DE4AD3" w:rsidRDefault="00DE4AD3" w:rsidP="00DE4AD3">
      <w:pPr>
        <w:rPr>
          <w:color w:val="FF0000"/>
        </w:rPr>
      </w:pPr>
      <w:r>
        <w:rPr>
          <w:color w:val="FF0000"/>
        </w:rPr>
        <w:t xml:space="preserve">Respuesta: </w:t>
      </w:r>
      <w:r w:rsidRPr="00DE4AD3">
        <w:rPr>
          <w:color w:val="000000" w:themeColor="text1"/>
        </w:rPr>
        <w:t>Verdadero</w:t>
      </w:r>
    </w:p>
    <w:p w14:paraId="22E079CE" w14:textId="77777777" w:rsidR="00DE4AD3" w:rsidRDefault="00DE4AD3" w:rsidP="00DE4AD3">
      <w:pPr>
        <w:rPr>
          <w:color w:val="FF0000"/>
        </w:rPr>
      </w:pPr>
    </w:p>
    <w:p w14:paraId="76D79E99" w14:textId="77777777" w:rsidR="00DE4AD3" w:rsidRDefault="00DE4AD3" w:rsidP="00DE4AD3">
      <w:pPr>
        <w:snapToGrid w:val="0"/>
        <w:rPr>
          <w:sz w:val="22"/>
          <w:szCs w:val="22"/>
        </w:rPr>
      </w:pPr>
      <w:r>
        <w:rPr>
          <w:color w:val="FF0000"/>
        </w:rPr>
        <w:t xml:space="preserve">Retroalimentación: </w:t>
      </w:r>
      <w:r w:rsidRPr="00DE7C1E">
        <w:rPr>
          <w:sz w:val="22"/>
          <w:szCs w:val="22"/>
        </w:rPr>
        <w:t xml:space="preserve">En efecto, es desde la cotidianidad que se fomentan y fortalecen las relaciones sociales, intervinientes en la consolidación de la sociedad civil, la cual se constituye </w:t>
      </w:r>
      <w:r>
        <w:rPr>
          <w:sz w:val="22"/>
          <w:szCs w:val="22"/>
        </w:rPr>
        <w:t xml:space="preserve">en mediadora y vigilante de la </w:t>
      </w:r>
      <w:r w:rsidRPr="00DE7C1E">
        <w:rPr>
          <w:sz w:val="22"/>
          <w:szCs w:val="22"/>
        </w:rPr>
        <w:t> política pública, pues es a través de ella, que el Estado adquiere un sentido colectivo donde la participación y responsabilidad en la toma de decisiones afecta a la sociedad en su conjunto</w:t>
      </w:r>
      <w:r>
        <w:rPr>
          <w:sz w:val="22"/>
          <w:szCs w:val="22"/>
        </w:rPr>
        <w:t>.</w:t>
      </w:r>
    </w:p>
    <w:p w14:paraId="5D9D5593" w14:textId="77777777" w:rsidR="007F30A7" w:rsidRDefault="007F30A7" w:rsidP="00DE4AD3">
      <w:pPr>
        <w:snapToGrid w:val="0"/>
        <w:rPr>
          <w:sz w:val="22"/>
          <w:szCs w:val="22"/>
        </w:rPr>
      </w:pPr>
    </w:p>
    <w:p w14:paraId="77E8C05D" w14:textId="4B8131C3" w:rsidR="007F30A7" w:rsidRPr="007F30A7" w:rsidRDefault="007F30A7" w:rsidP="007F30A7">
      <w:pPr>
        <w:pStyle w:val="ListParagraph"/>
        <w:numPr>
          <w:ilvl w:val="0"/>
          <w:numId w:val="1"/>
        </w:numPr>
        <w:snapToGrid w:val="0"/>
        <w:rPr>
          <w:b/>
        </w:rPr>
      </w:pPr>
      <w:r w:rsidRPr="007F30A7">
        <w:rPr>
          <w:b/>
        </w:rPr>
        <w:t>El territorio es una construcción social cambiante en donde se desarrollan interacciones sociales en un tiempo y espacio determinado.</w:t>
      </w:r>
    </w:p>
    <w:p w14:paraId="173B12F7" w14:textId="77777777" w:rsidR="00880026" w:rsidRDefault="00880026" w:rsidP="00DE4AD3">
      <w:pPr>
        <w:snapToGrid w:val="0"/>
        <w:rPr>
          <w:sz w:val="22"/>
          <w:szCs w:val="22"/>
        </w:rPr>
      </w:pPr>
    </w:p>
    <w:p w14:paraId="3227E807" w14:textId="77777777" w:rsidR="007F30A7" w:rsidRDefault="007F30A7" w:rsidP="007F30A7">
      <w:pPr>
        <w:rPr>
          <w:color w:val="FF0000"/>
        </w:rPr>
      </w:pPr>
      <w:r>
        <w:rPr>
          <w:color w:val="FF0000"/>
        </w:rPr>
        <w:t xml:space="preserve">Respuesta: </w:t>
      </w:r>
      <w:r w:rsidRPr="00DE4AD3">
        <w:rPr>
          <w:color w:val="000000" w:themeColor="text1"/>
        </w:rPr>
        <w:t>Verdadero</w:t>
      </w:r>
    </w:p>
    <w:p w14:paraId="3FFD1595" w14:textId="77777777" w:rsidR="007F30A7" w:rsidRDefault="007F30A7" w:rsidP="007F30A7">
      <w:pPr>
        <w:rPr>
          <w:color w:val="FF0000"/>
        </w:rPr>
      </w:pPr>
    </w:p>
    <w:p w14:paraId="01F514B4" w14:textId="5900E549" w:rsidR="007F30A7" w:rsidRDefault="007F30A7" w:rsidP="007F30A7">
      <w:pPr>
        <w:snapToGrid w:val="0"/>
        <w:rPr>
          <w:sz w:val="22"/>
          <w:szCs w:val="22"/>
        </w:rPr>
      </w:pPr>
      <w:r>
        <w:rPr>
          <w:color w:val="FF0000"/>
        </w:rPr>
        <w:t xml:space="preserve">Retroalimentación: </w:t>
      </w:r>
      <w:r w:rsidRPr="007F30A7">
        <w:rPr>
          <w:color w:val="000000" w:themeColor="text1"/>
        </w:rPr>
        <w:t>La territorialidad parte de un espacio geográfico cargado de signos, símbolos, sentidos y significados para los sujetos que lo habitan y quienes estructuran imaginarios, a partir de una historia, una organización social, un lenguaje, unos valores, una religión, unos modelos de aprendizaje que le hacen sentir parte del colectivo. Por tanto, el territorio tiene gran trascendencia en cómo se ha construido la identidad de la persona y de los colectivos, desde las improntas, la mediación, el diálogo, las relaciones con los otros y desde los otros.</w:t>
      </w:r>
    </w:p>
    <w:p w14:paraId="5B0B603E" w14:textId="77777777" w:rsidR="00880026" w:rsidRDefault="00880026" w:rsidP="00DE4AD3">
      <w:pPr>
        <w:snapToGrid w:val="0"/>
        <w:rPr>
          <w:sz w:val="22"/>
          <w:szCs w:val="22"/>
        </w:rPr>
      </w:pPr>
    </w:p>
    <w:p w14:paraId="505338E3" w14:textId="0CEB7C03" w:rsidR="00880026" w:rsidRPr="00880026" w:rsidRDefault="00880026" w:rsidP="00880026">
      <w:pPr>
        <w:pStyle w:val="ListParagraph"/>
        <w:numPr>
          <w:ilvl w:val="0"/>
          <w:numId w:val="1"/>
        </w:numPr>
        <w:snapToGrid w:val="0"/>
        <w:rPr>
          <w:b/>
          <w:color w:val="000000" w:themeColor="text1"/>
        </w:rPr>
      </w:pPr>
      <w:r w:rsidRPr="00880026">
        <w:rPr>
          <w:b/>
          <w:sz w:val="22"/>
          <w:szCs w:val="22"/>
        </w:rPr>
        <w:t xml:space="preserve">Las leyes son </w:t>
      </w:r>
      <w:r w:rsidRPr="00880026">
        <w:rPr>
          <w:b/>
          <w:color w:val="000000" w:themeColor="text1"/>
        </w:rPr>
        <w:t>pautas de conducta que orientan la vida de una persona o pequeñas comunidades.</w:t>
      </w:r>
    </w:p>
    <w:p w14:paraId="3F572321" w14:textId="77777777" w:rsidR="00880026" w:rsidRDefault="00880026" w:rsidP="00880026">
      <w:pPr>
        <w:snapToGrid w:val="0"/>
        <w:rPr>
          <w:b/>
          <w:sz w:val="22"/>
          <w:szCs w:val="22"/>
        </w:rPr>
      </w:pPr>
    </w:p>
    <w:p w14:paraId="1AA14B0B" w14:textId="454F115B" w:rsidR="00880026" w:rsidRDefault="00880026" w:rsidP="00880026">
      <w:pPr>
        <w:rPr>
          <w:color w:val="FF0000"/>
        </w:rPr>
      </w:pPr>
      <w:r>
        <w:rPr>
          <w:color w:val="FF0000"/>
        </w:rPr>
        <w:t xml:space="preserve">Respuesta: </w:t>
      </w:r>
      <w:r>
        <w:rPr>
          <w:color w:val="000000" w:themeColor="text1"/>
        </w:rPr>
        <w:t xml:space="preserve">Falso. </w:t>
      </w:r>
    </w:p>
    <w:p w14:paraId="38C89567" w14:textId="77777777" w:rsidR="00880026" w:rsidRDefault="00880026" w:rsidP="00880026">
      <w:pPr>
        <w:rPr>
          <w:color w:val="FF0000"/>
        </w:rPr>
      </w:pPr>
    </w:p>
    <w:p w14:paraId="1CC05C4A" w14:textId="2DDEE531" w:rsidR="00880026" w:rsidRDefault="00880026" w:rsidP="00880026">
      <w:pPr>
        <w:snapToGrid w:val="0"/>
        <w:rPr>
          <w:b/>
          <w:sz w:val="22"/>
          <w:szCs w:val="22"/>
        </w:rPr>
      </w:pPr>
      <w:r>
        <w:rPr>
          <w:color w:val="FF0000"/>
        </w:rPr>
        <w:t xml:space="preserve">Retroalimentación: </w:t>
      </w:r>
      <w:r w:rsidRPr="00880026">
        <w:rPr>
          <w:color w:val="000000" w:themeColor="text1"/>
        </w:rPr>
        <w:t>El enunciado hace refere</w:t>
      </w:r>
      <w:r>
        <w:rPr>
          <w:color w:val="000000" w:themeColor="text1"/>
        </w:rPr>
        <w:t>ncia a las normas. Las leyes, p</w:t>
      </w:r>
      <w:r w:rsidRPr="00880026">
        <w:rPr>
          <w:color w:val="000000" w:themeColor="text1"/>
        </w:rPr>
        <w:t>o</w:t>
      </w:r>
      <w:r>
        <w:rPr>
          <w:color w:val="000000" w:themeColor="text1"/>
        </w:rPr>
        <w:t>r</w:t>
      </w:r>
      <w:r w:rsidRPr="00880026">
        <w:rPr>
          <w:color w:val="000000" w:themeColor="text1"/>
        </w:rPr>
        <w:t xml:space="preserve"> su parte, son reglas formales establecidas y ejecutadas por el Estado que regulan y prohíben determinados comportamientos de los individuos en la sociedad.</w:t>
      </w:r>
    </w:p>
    <w:p w14:paraId="6EC8A9CA" w14:textId="77777777" w:rsidR="00880026" w:rsidRPr="00880026" w:rsidRDefault="00880026" w:rsidP="00880026">
      <w:pPr>
        <w:snapToGrid w:val="0"/>
        <w:rPr>
          <w:b/>
          <w:sz w:val="22"/>
          <w:szCs w:val="22"/>
        </w:rPr>
      </w:pPr>
    </w:p>
    <w:p w14:paraId="55EA65B0" w14:textId="576BAA0C" w:rsidR="00DE4AD3" w:rsidRDefault="00DE4AD3" w:rsidP="00DE4AD3">
      <w:pPr>
        <w:rPr>
          <w:color w:val="FF0000"/>
        </w:rPr>
      </w:pPr>
    </w:p>
    <w:p w14:paraId="11BBE1B4" w14:textId="5558C9F1" w:rsidR="00880026" w:rsidRPr="00183BB4" w:rsidRDefault="00183BB4" w:rsidP="00183BB4">
      <w:pPr>
        <w:pStyle w:val="ListParagraph"/>
        <w:numPr>
          <w:ilvl w:val="0"/>
          <w:numId w:val="1"/>
        </w:numPr>
        <w:rPr>
          <w:b/>
        </w:rPr>
      </w:pPr>
      <w:r w:rsidRPr="00183BB4">
        <w:rPr>
          <w:b/>
        </w:rPr>
        <w:t>La ley 134 de 1994 trata</w:t>
      </w:r>
      <w:r w:rsidR="00880026" w:rsidRPr="00183BB4">
        <w:rPr>
          <w:b/>
        </w:rPr>
        <w:t xml:space="preserve"> sobre los mecanismos de participación otorgados constitucionalmente a todo ciudadano en Colombia.</w:t>
      </w:r>
    </w:p>
    <w:p w14:paraId="01813848" w14:textId="77777777" w:rsidR="00183BB4" w:rsidRPr="00183BB4" w:rsidRDefault="00183BB4" w:rsidP="00183BB4">
      <w:pPr>
        <w:pStyle w:val="ListParagraph"/>
        <w:rPr>
          <w:color w:val="FF0000"/>
        </w:rPr>
      </w:pPr>
    </w:p>
    <w:p w14:paraId="758EB8DA" w14:textId="4C0C7245" w:rsidR="00183BB4" w:rsidRDefault="00183BB4" w:rsidP="00183BB4">
      <w:pPr>
        <w:rPr>
          <w:color w:val="FF0000"/>
        </w:rPr>
      </w:pPr>
      <w:r>
        <w:rPr>
          <w:color w:val="FF0000"/>
        </w:rPr>
        <w:t xml:space="preserve">Respuesta: </w:t>
      </w:r>
      <w:r>
        <w:rPr>
          <w:color w:val="000000" w:themeColor="text1"/>
        </w:rPr>
        <w:t xml:space="preserve">Verdadero. </w:t>
      </w:r>
    </w:p>
    <w:p w14:paraId="7F566DE4" w14:textId="77777777" w:rsidR="00183BB4" w:rsidRDefault="00183BB4" w:rsidP="00183BB4">
      <w:pPr>
        <w:rPr>
          <w:color w:val="FF0000"/>
        </w:rPr>
      </w:pPr>
    </w:p>
    <w:p w14:paraId="529E6069" w14:textId="37A43A29" w:rsidR="00183BB4" w:rsidRDefault="00183BB4" w:rsidP="00183BB4">
      <w:r>
        <w:rPr>
          <w:color w:val="FF0000"/>
        </w:rPr>
        <w:t xml:space="preserve">Retroalimentación: </w:t>
      </w:r>
      <w:r w:rsidRPr="00183BB4">
        <w:rPr>
          <w:color w:val="000000" w:themeColor="text1"/>
        </w:rPr>
        <w:t>Con la constitución política de Colombia de 1991, ley</w:t>
      </w:r>
      <w:r>
        <w:t xml:space="preserve"> 134 de 1994 </w:t>
      </w:r>
      <w:r w:rsidRPr="00520EAE">
        <w:t> </w:t>
      </w:r>
      <w:r>
        <w:t xml:space="preserve">establece </w:t>
      </w:r>
      <w:r w:rsidRPr="00520EAE">
        <w:t>las dif</w:t>
      </w:r>
      <w:r>
        <w:t xml:space="preserve">erentes formas de participación y protección </w:t>
      </w:r>
      <w:r w:rsidRPr="00520EAE">
        <w:t xml:space="preserve"> que tiene todo ciudadano en Colombia.</w:t>
      </w:r>
      <w:r>
        <w:t xml:space="preserve"> Entre las que se encuentran: el referendo, el plebiscito, la consulta popular, el cabildo abierto, la evocatoria del mandato e iniciativa popular legislativa y normativa.</w:t>
      </w:r>
    </w:p>
    <w:p w14:paraId="48EC4E17" w14:textId="798085EA" w:rsidR="00DE4AD3" w:rsidRDefault="00DE4AD3" w:rsidP="00183BB4">
      <w:pPr>
        <w:rPr>
          <w:color w:val="FF0000"/>
        </w:rPr>
      </w:pPr>
    </w:p>
    <w:p w14:paraId="471D5A23" w14:textId="77777777" w:rsidR="007F30A7" w:rsidRDefault="007F30A7" w:rsidP="00183BB4">
      <w:pPr>
        <w:rPr>
          <w:color w:val="FF0000"/>
        </w:rPr>
      </w:pPr>
    </w:p>
    <w:p w14:paraId="15FED61C" w14:textId="58C46325" w:rsidR="007F30A7" w:rsidRPr="007F30A7" w:rsidRDefault="007F30A7" w:rsidP="007F30A7">
      <w:pPr>
        <w:pStyle w:val="ListParagraph"/>
        <w:numPr>
          <w:ilvl w:val="0"/>
          <w:numId w:val="1"/>
        </w:numPr>
        <w:rPr>
          <w:rFonts w:cs="Times New Roman"/>
          <w:b/>
        </w:rPr>
      </w:pPr>
      <w:r w:rsidRPr="007F30A7">
        <w:rPr>
          <w:rFonts w:cs="Times New Roman"/>
          <w:b/>
        </w:rPr>
        <w:t>Con la constitución de 1991, se establece los derechos de primera, segunda y tercera generación. Es decir, colectivos, sociales y fundamentales, respectivamente.</w:t>
      </w:r>
    </w:p>
    <w:p w14:paraId="0B8A6EAC" w14:textId="77777777" w:rsidR="007F30A7" w:rsidRDefault="007F30A7" w:rsidP="007F30A7">
      <w:pPr>
        <w:rPr>
          <w:rFonts w:cs="Times New Roman"/>
        </w:rPr>
      </w:pPr>
    </w:p>
    <w:p w14:paraId="052A8DF7" w14:textId="7CC2D16D" w:rsidR="007F30A7" w:rsidRDefault="007F30A7" w:rsidP="007F30A7">
      <w:pPr>
        <w:rPr>
          <w:color w:val="FF0000"/>
        </w:rPr>
      </w:pPr>
      <w:r>
        <w:rPr>
          <w:color w:val="FF0000"/>
        </w:rPr>
        <w:t xml:space="preserve">Respuesta: </w:t>
      </w:r>
      <w:r>
        <w:rPr>
          <w:color w:val="000000" w:themeColor="text1"/>
        </w:rPr>
        <w:t xml:space="preserve">Falso. </w:t>
      </w:r>
    </w:p>
    <w:p w14:paraId="4C94FAD8" w14:textId="77777777" w:rsidR="007F30A7" w:rsidRDefault="007F30A7" w:rsidP="007F30A7">
      <w:pPr>
        <w:rPr>
          <w:color w:val="FF0000"/>
        </w:rPr>
      </w:pPr>
    </w:p>
    <w:p w14:paraId="1268FB36" w14:textId="36A35554" w:rsidR="007F30A7" w:rsidRPr="007F30A7" w:rsidRDefault="007F30A7" w:rsidP="007F30A7">
      <w:pPr>
        <w:tabs>
          <w:tab w:val="left" w:pos="2175"/>
        </w:tabs>
        <w:rPr>
          <w:rFonts w:cs="Times New Roman"/>
        </w:rPr>
      </w:pPr>
      <w:r>
        <w:rPr>
          <w:color w:val="FF0000"/>
        </w:rPr>
        <w:t xml:space="preserve">Retroalimentación: </w:t>
      </w:r>
      <w:r>
        <w:rPr>
          <w:rFonts w:cs="Times New Roman"/>
        </w:rPr>
        <w:t>Con la constitución de 1991, se establece los derechos de primera, segunda y tercera generación. Los primeros de ellos están consagrados en los derechos humanos (fundamentales), derechos de segunda generación (sociales, económicos y culturales) y de tercera generación (colectivos).</w:t>
      </w:r>
    </w:p>
    <w:p w14:paraId="5001DE1D" w14:textId="77777777" w:rsidR="00853C96" w:rsidRDefault="00853C96">
      <w:pPr>
        <w:rPr>
          <w:color w:val="000000" w:themeColor="text1"/>
        </w:rPr>
      </w:pPr>
    </w:p>
    <w:p w14:paraId="34791DE9" w14:textId="1540874C" w:rsidR="00853C96" w:rsidRDefault="00853C96">
      <w:pPr>
        <w:rPr>
          <w:color w:val="000000" w:themeColor="text1"/>
        </w:rPr>
      </w:pPr>
    </w:p>
    <w:p w14:paraId="14B7C5D1" w14:textId="5BC54250" w:rsidR="00680F48" w:rsidRPr="00A33E17" w:rsidRDefault="00802F8D">
      <w:pPr>
        <w:rPr>
          <w:color w:val="FF0000"/>
        </w:rPr>
      </w:pPr>
      <w:r w:rsidRPr="00A33E17">
        <w:rPr>
          <w:color w:val="FF0000"/>
        </w:rPr>
        <w:t>Retroalimentación final</w:t>
      </w:r>
      <w:r w:rsidR="00F26C4E">
        <w:rPr>
          <w:color w:val="FF0000"/>
        </w:rPr>
        <w:t xml:space="preserve"> de acuerdo al número de respuestas acertadas. </w:t>
      </w:r>
    </w:p>
    <w:p w14:paraId="590C297B" w14:textId="09C42935" w:rsidR="008E41CF" w:rsidRDefault="008E41CF"/>
    <w:p w14:paraId="29757C1C" w14:textId="55A0D79F" w:rsidR="00F741DE" w:rsidRDefault="00F741DE">
      <w:r w:rsidRPr="00FC0085">
        <w:rPr>
          <w:color w:val="FF0000"/>
        </w:rPr>
        <w:t>0 respuestas correctas:</w:t>
      </w:r>
      <w:r w:rsidR="00FC0085">
        <w:t xml:space="preserve"> </w:t>
      </w:r>
      <w:r w:rsidR="00FC0085">
        <w:t>Repasa nuevamente este módulo</w:t>
      </w:r>
      <w:r w:rsidR="00FC0085">
        <w:t xml:space="preserve"> e inténtalo de nuevo.</w:t>
      </w:r>
    </w:p>
    <w:p w14:paraId="44B74970" w14:textId="167CD09F" w:rsidR="00F741DE" w:rsidRDefault="00F741DE">
      <w:r w:rsidRPr="00FC0085">
        <w:rPr>
          <w:color w:val="FF0000"/>
        </w:rPr>
        <w:t>1-2 respuestas correctas:</w:t>
      </w:r>
      <w:r w:rsidR="009638AD">
        <w:t xml:space="preserve"> Puedes hacerlo mejor. </w:t>
      </w:r>
      <w:r w:rsidR="00FC0085">
        <w:t>Revisa aquellas preguntas que no contestaste de forma acertada y estudia las falencias que tienes.</w:t>
      </w:r>
    </w:p>
    <w:p w14:paraId="468914F2" w14:textId="19242EBE" w:rsidR="00F741DE" w:rsidRDefault="00F741DE">
      <w:r w:rsidRPr="00FC0085">
        <w:rPr>
          <w:color w:val="FF0000"/>
        </w:rPr>
        <w:t>3 respuestas correctas:</w:t>
      </w:r>
      <w:r w:rsidR="00FC0085">
        <w:t xml:space="preserve"> ¡Bien hecho! </w:t>
      </w:r>
      <w:r w:rsidR="00A16E24">
        <w:t xml:space="preserve">Sigue estudiando para ser cada vez mejor. </w:t>
      </w:r>
      <w:bookmarkStart w:id="0" w:name="_GoBack"/>
      <w:bookmarkEnd w:id="0"/>
    </w:p>
    <w:p w14:paraId="4635ABFC" w14:textId="350EFC4B" w:rsidR="00F741DE" w:rsidRDefault="00F741DE">
      <w:r w:rsidRPr="00FC0085">
        <w:rPr>
          <w:color w:val="FF0000"/>
        </w:rPr>
        <w:t>4-5 respuestas correctas:</w:t>
      </w:r>
      <w:r w:rsidR="009638AD">
        <w:t xml:space="preserve"> ¡Felicitaciones! Vas por buen camino en el proceso de preparación de la prueba Saber Pro.</w:t>
      </w:r>
    </w:p>
    <w:sectPr w:rsidR="00F741DE"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A404E"/>
    <w:multiLevelType w:val="hybridMultilevel"/>
    <w:tmpl w:val="7608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95C79"/>
    <w:rsid w:val="000A6C0A"/>
    <w:rsid w:val="001836C1"/>
    <w:rsid w:val="00183BB4"/>
    <w:rsid w:val="00191C40"/>
    <w:rsid w:val="001E2651"/>
    <w:rsid w:val="002D1066"/>
    <w:rsid w:val="002F19AC"/>
    <w:rsid w:val="004869D7"/>
    <w:rsid w:val="006573ED"/>
    <w:rsid w:val="00680F48"/>
    <w:rsid w:val="00722FF2"/>
    <w:rsid w:val="007F30A7"/>
    <w:rsid w:val="00802F8D"/>
    <w:rsid w:val="00853C96"/>
    <w:rsid w:val="00880026"/>
    <w:rsid w:val="008E41CF"/>
    <w:rsid w:val="009638AD"/>
    <w:rsid w:val="00A16E24"/>
    <w:rsid w:val="00A16F64"/>
    <w:rsid w:val="00A179B8"/>
    <w:rsid w:val="00A33E17"/>
    <w:rsid w:val="00A73159"/>
    <w:rsid w:val="00AD3C42"/>
    <w:rsid w:val="00C31E8E"/>
    <w:rsid w:val="00C354CB"/>
    <w:rsid w:val="00C8062C"/>
    <w:rsid w:val="00CF7983"/>
    <w:rsid w:val="00DE4AD3"/>
    <w:rsid w:val="00E83F89"/>
    <w:rsid w:val="00F26C4E"/>
    <w:rsid w:val="00F71AA8"/>
    <w:rsid w:val="00F741DE"/>
    <w:rsid w:val="00FC0085"/>
    <w:rsid w:val="00FF0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table" w:styleId="TableGrid">
    <w:name w:val="Table Grid"/>
    <w:basedOn w:val="TableNormal"/>
    <w:uiPriority w:val="59"/>
    <w:rsid w:val="0085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A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table" w:styleId="TableGrid">
    <w:name w:val="Table Grid"/>
    <w:basedOn w:val="TableNormal"/>
    <w:uiPriority w:val="59"/>
    <w:rsid w:val="0085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7D19-3338-BF46-86BA-94CA2CC6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2999</Characters>
  <Application>Microsoft Macintosh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21</cp:revision>
  <dcterms:created xsi:type="dcterms:W3CDTF">2019-04-21T00:31:00Z</dcterms:created>
  <dcterms:modified xsi:type="dcterms:W3CDTF">2019-04-21T01:02:00Z</dcterms:modified>
</cp:coreProperties>
</file>