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3651" w14:textId="77777777" w:rsidR="00981321" w:rsidRPr="00352A8C" w:rsidRDefault="00981321" w:rsidP="00981321">
      <w:pPr>
        <w:pStyle w:val="NormalWeb"/>
        <w:spacing w:before="0" w:beforeAutospacing="0" w:line="210" w:lineRule="atLeast"/>
        <w:jc w:val="center"/>
        <w:rPr>
          <w:rFonts w:ascii="Arial" w:hAnsi="Arial" w:cs="Arial"/>
          <w:b/>
          <w:bCs/>
          <w:color w:val="000000"/>
          <w:lang w:val="es-CO"/>
        </w:rPr>
      </w:pPr>
      <w:r w:rsidRPr="00352A8C">
        <w:rPr>
          <w:rFonts w:ascii="Arial" w:hAnsi="Arial" w:cs="Arial"/>
          <w:b/>
          <w:bCs/>
          <w:color w:val="000000"/>
          <w:lang w:val="es-CO"/>
        </w:rPr>
        <w:t>Etapas de la combinación de negocios mediante la aplicación del método de la adquisición</w:t>
      </w:r>
    </w:p>
    <w:p w14:paraId="4089A17C" w14:textId="77777777" w:rsidR="00981321" w:rsidRDefault="007227FA" w:rsidP="00F84159">
      <w:pPr>
        <w:pStyle w:val="NormalWeb"/>
        <w:spacing w:before="0" w:beforeAutospacing="0" w:line="210" w:lineRule="atLeast"/>
        <w:rPr>
          <w:rFonts w:ascii="Arial" w:hAnsi="Arial" w:cs="Arial"/>
          <w:lang w:val="es-MX"/>
        </w:rPr>
      </w:pPr>
      <w:r w:rsidRPr="00352A8C">
        <w:rPr>
          <w:rFonts w:ascii="Arial" w:hAnsi="Arial" w:cs="Arial"/>
          <w:b/>
          <w:bCs/>
          <w:color w:val="000000"/>
          <w:lang w:val="es-CO"/>
        </w:rPr>
        <w:t>Instrucción:</w:t>
      </w:r>
      <w:r w:rsidRPr="00352A8C">
        <w:rPr>
          <w:rFonts w:ascii="Arial" w:hAnsi="Arial" w:cs="Arial"/>
          <w:bCs/>
          <w:color w:val="000000"/>
          <w:lang w:val="es-CO"/>
        </w:rPr>
        <w:t xml:space="preserve"> realizar interactividad de 3 secciones con la  plantilla de la UMNG: </w:t>
      </w:r>
      <w:hyperlink r:id="rId5" w:history="1">
        <w:r w:rsidRPr="00352A8C">
          <w:rPr>
            <w:rStyle w:val="Hipervnculo"/>
            <w:rFonts w:ascii="Arial" w:hAnsi="Arial" w:cs="Arial"/>
            <w:lang w:val="es-MX"/>
          </w:rPr>
          <w:t>http://virtual.umng.edu.co/distancia/ecosistema/ovas/ingenieria_informatica/herramientas_y_soluciones_para_el_aprendizaje_en_la_web/unidad_3/medios/interactividades/pat7/pat7.html</w:t>
        </w:r>
      </w:hyperlink>
      <w:r w:rsidR="008808E0" w:rsidRPr="00352A8C">
        <w:rPr>
          <w:rFonts w:ascii="Arial" w:hAnsi="Arial" w:cs="Arial"/>
          <w:lang w:val="es-MX"/>
        </w:rPr>
        <w:t xml:space="preserve"> </w:t>
      </w:r>
      <w:r w:rsidR="00DE5E73">
        <w:rPr>
          <w:rFonts w:ascii="Arial" w:hAnsi="Arial" w:cs="Arial"/>
          <w:lang w:val="es-MX"/>
        </w:rPr>
        <w:t>si es demasiado texto, se puede cambiar a la interactividad libro con flechas de color rojo. V</w:t>
      </w:r>
      <w:r w:rsidR="008808E0" w:rsidRPr="00352A8C">
        <w:rPr>
          <w:rFonts w:ascii="Arial" w:hAnsi="Arial" w:cs="Arial"/>
          <w:lang w:val="es-MX"/>
        </w:rPr>
        <w:t>a una pequeña introducción + instrucción + la interactividad.</w:t>
      </w:r>
      <w:r w:rsidR="000F5EED">
        <w:rPr>
          <w:rFonts w:ascii="Arial" w:hAnsi="Arial" w:cs="Arial"/>
          <w:lang w:val="es-MX"/>
        </w:rPr>
        <w:t xml:space="preserve"> redibujar gráficos. </w:t>
      </w:r>
    </w:p>
    <w:p w14:paraId="7B04E6CA" w14:textId="77777777" w:rsidR="000F5EED" w:rsidRDefault="000F5EED" w:rsidP="00F84159">
      <w:pPr>
        <w:pStyle w:val="NormalWeb"/>
        <w:spacing w:before="0" w:beforeAutospacing="0" w:line="210" w:lineRule="atLeast"/>
        <w:rPr>
          <w:rFonts w:ascii="Arial" w:hAnsi="Arial" w:cs="Arial"/>
          <w:lang w:val="es-MX"/>
        </w:rPr>
      </w:pPr>
    </w:p>
    <w:p w14:paraId="0616BDEF" w14:textId="77777777" w:rsidR="00BD23DE" w:rsidRDefault="00F84159" w:rsidP="00F84159">
      <w:pPr>
        <w:pStyle w:val="NormalWeb"/>
        <w:spacing w:before="0" w:beforeAutospacing="0" w:line="210" w:lineRule="atLeast"/>
        <w:rPr>
          <w:rFonts w:ascii="Arial" w:hAnsi="Arial" w:cs="Arial"/>
          <w:bCs/>
          <w:color w:val="000000"/>
          <w:lang w:val="es-CO"/>
        </w:rPr>
      </w:pPr>
      <w:r w:rsidRPr="00352A8C">
        <w:rPr>
          <w:rFonts w:ascii="Arial" w:hAnsi="Arial" w:cs="Arial"/>
          <w:bCs/>
          <w:color w:val="000000"/>
          <w:lang w:val="es-CO"/>
        </w:rPr>
        <w:t>Una entidad contabilizará cada combinación de negocios mediante la aplicación del método de la adquisición, el cual está comp</w:t>
      </w:r>
      <w:r w:rsidR="00BD23DE">
        <w:rPr>
          <w:rFonts w:ascii="Arial" w:hAnsi="Arial" w:cs="Arial"/>
          <w:bCs/>
          <w:color w:val="000000"/>
          <w:lang w:val="es-CO"/>
        </w:rPr>
        <w:t>uesto por las siguientes etapas:</w:t>
      </w:r>
    </w:p>
    <w:p w14:paraId="318138B1" w14:textId="77777777" w:rsidR="00F84159" w:rsidRPr="00352A8C" w:rsidRDefault="00BD23DE" w:rsidP="00BD23DE">
      <w:pPr>
        <w:pStyle w:val="NormalWeb"/>
        <w:spacing w:before="0" w:beforeAutospacing="0" w:line="210" w:lineRule="atLeast"/>
        <w:jc w:val="center"/>
        <w:rPr>
          <w:rFonts w:ascii="Arial" w:hAnsi="Arial" w:cs="Arial"/>
          <w:bCs/>
          <w:color w:val="000000"/>
          <w:lang w:val="es-CO"/>
        </w:rPr>
      </w:pPr>
      <w:r w:rsidRPr="00BD23DE">
        <w:rPr>
          <w:rFonts w:ascii="Arial" w:hAnsi="Arial" w:cs="Arial"/>
          <w:b/>
          <w:bCs/>
          <w:i/>
          <w:color w:val="4472C4" w:themeColor="accent5"/>
          <w:lang w:val="es-CO"/>
        </w:rPr>
        <w:t>Haz clic en cada etapa para ampliar la información:</w:t>
      </w:r>
    </w:p>
    <w:p w14:paraId="4568A0FD" w14:textId="77777777" w:rsidR="00F84159" w:rsidRPr="00352A8C" w:rsidRDefault="008F0211" w:rsidP="008F0211">
      <w:pPr>
        <w:rPr>
          <w:rFonts w:cs="Arial"/>
          <w:b/>
          <w:bCs/>
          <w:color w:val="000000"/>
          <w:szCs w:val="24"/>
          <w:lang w:eastAsia="es-ES"/>
        </w:rPr>
      </w:pPr>
      <w:r w:rsidRPr="00352A8C">
        <w:rPr>
          <w:rFonts w:cs="Arial"/>
          <w:b/>
          <w:bCs/>
          <w:color w:val="000000"/>
          <w:szCs w:val="24"/>
          <w:lang w:eastAsia="es-ES"/>
        </w:rPr>
        <w:t xml:space="preserve">1. </w:t>
      </w:r>
      <w:r w:rsidR="00981321" w:rsidRPr="00352A8C">
        <w:rPr>
          <w:rFonts w:cs="Arial"/>
          <w:b/>
          <w:bCs/>
          <w:color w:val="000000"/>
          <w:szCs w:val="24"/>
          <w:lang w:eastAsia="es-ES"/>
        </w:rPr>
        <w:t>I</w:t>
      </w:r>
      <w:r w:rsidR="00F84159" w:rsidRPr="00352A8C">
        <w:rPr>
          <w:rFonts w:cs="Arial"/>
          <w:b/>
          <w:bCs/>
          <w:color w:val="000000"/>
          <w:szCs w:val="24"/>
          <w:lang w:eastAsia="es-ES"/>
        </w:rPr>
        <w:t>dentificación de la adquirente</w:t>
      </w:r>
    </w:p>
    <w:p w14:paraId="59F4D6B6" w14:textId="77777777" w:rsidR="00F84159" w:rsidRPr="00352A8C" w:rsidRDefault="00F84159" w:rsidP="00F84159">
      <w:pPr>
        <w:pStyle w:val="Prrafodelista"/>
        <w:rPr>
          <w:rFonts w:cs="Arial"/>
          <w:bCs/>
          <w:color w:val="000000"/>
          <w:szCs w:val="24"/>
          <w:lang w:eastAsia="es-ES"/>
        </w:rPr>
      </w:pPr>
    </w:p>
    <w:p w14:paraId="20DDE4ED" w14:textId="77777777" w:rsidR="00F84159" w:rsidRPr="00352A8C" w:rsidRDefault="00F84159" w:rsidP="00F84159">
      <w:pPr>
        <w:rPr>
          <w:rFonts w:cs="Arial"/>
          <w:bCs/>
          <w:color w:val="000000"/>
          <w:szCs w:val="24"/>
          <w:lang w:eastAsia="es-ES"/>
        </w:rPr>
      </w:pPr>
      <w:r w:rsidRPr="00352A8C">
        <w:rPr>
          <w:rFonts w:cs="Arial"/>
          <w:bCs/>
          <w:color w:val="000000"/>
          <w:szCs w:val="24"/>
          <w:lang w:eastAsia="es-ES"/>
        </w:rPr>
        <w:t xml:space="preserve">Es necesario identificar cuál </w:t>
      </w:r>
      <w:r w:rsidRPr="00352A8C">
        <w:rPr>
          <w:rFonts w:cs="Arial"/>
          <w:bCs/>
          <w:szCs w:val="24"/>
          <w:lang w:eastAsia="es-ES"/>
        </w:rPr>
        <w:t xml:space="preserve">parte constituye </w:t>
      </w:r>
      <w:r w:rsidR="00234253">
        <w:rPr>
          <w:rFonts w:cs="Arial"/>
          <w:bCs/>
          <w:color w:val="000000"/>
          <w:szCs w:val="24"/>
          <w:lang w:eastAsia="es-ES"/>
        </w:rPr>
        <w:t>el negocio a adquirir</w:t>
      </w:r>
      <w:r w:rsidRPr="00352A8C">
        <w:rPr>
          <w:rFonts w:cs="Arial"/>
          <w:bCs/>
          <w:color w:val="000000"/>
          <w:szCs w:val="24"/>
          <w:lang w:eastAsia="es-ES"/>
        </w:rPr>
        <w:t xml:space="preserve"> y cuál es la parte </w:t>
      </w:r>
      <w:r w:rsidRPr="00234253">
        <w:rPr>
          <w:rFonts w:cs="Arial"/>
          <w:b/>
          <w:color w:val="000000"/>
          <w:szCs w:val="24"/>
          <w:lang w:eastAsia="es-ES"/>
        </w:rPr>
        <w:t>adquiriente</w:t>
      </w:r>
      <w:r w:rsidR="00234253">
        <w:rPr>
          <w:rFonts w:cs="Arial"/>
          <w:b/>
          <w:color w:val="000000"/>
          <w:szCs w:val="24"/>
          <w:lang w:eastAsia="es-ES"/>
        </w:rPr>
        <w:t>,</w:t>
      </w:r>
      <w:r w:rsidR="00234253">
        <w:rPr>
          <w:rFonts w:cs="Arial"/>
          <w:bCs/>
          <w:color w:val="000000"/>
          <w:szCs w:val="24"/>
          <w:lang w:eastAsia="es-ES"/>
        </w:rPr>
        <w:t xml:space="preserve"> de este modo</w:t>
      </w:r>
      <w:r w:rsidRPr="00352A8C">
        <w:rPr>
          <w:rFonts w:cs="Arial"/>
          <w:bCs/>
          <w:color w:val="000000"/>
          <w:szCs w:val="24"/>
          <w:lang w:eastAsia="es-ES"/>
        </w:rPr>
        <w:t xml:space="preserve"> se definen los roles de cada agente en la transacción.</w:t>
      </w:r>
    </w:p>
    <w:p w14:paraId="7BA425A5" w14:textId="77777777" w:rsidR="00535AA6" w:rsidRPr="00352A8C" w:rsidRDefault="00535AA6" w:rsidP="00F84159">
      <w:pPr>
        <w:rPr>
          <w:rFonts w:cs="Arial"/>
          <w:bCs/>
          <w:color w:val="000000"/>
          <w:szCs w:val="24"/>
          <w:lang w:eastAsia="es-ES"/>
        </w:rPr>
      </w:pPr>
    </w:p>
    <w:p w14:paraId="63452B11" w14:textId="77777777" w:rsidR="00535AA6" w:rsidRPr="00352A8C" w:rsidRDefault="00535AA6" w:rsidP="00F84159">
      <w:pPr>
        <w:rPr>
          <w:rFonts w:cs="Arial"/>
          <w:bCs/>
          <w:color w:val="000000"/>
          <w:szCs w:val="24"/>
          <w:lang w:eastAsia="es-ES"/>
        </w:rPr>
      </w:pPr>
      <w:r w:rsidRPr="00352A8C">
        <w:rPr>
          <w:rFonts w:cs="Arial"/>
          <w:bCs/>
          <w:noProof/>
          <w:color w:val="000000"/>
          <w:szCs w:val="24"/>
          <w:lang w:val="en-US" w:eastAsia="en-US"/>
        </w:rPr>
        <w:drawing>
          <wp:inline distT="0" distB="0" distL="0" distR="0" wp14:anchorId="5C6E5D50" wp14:editId="10FE9DA8">
            <wp:extent cx="5612130" cy="1478872"/>
            <wp:effectExtent l="0" t="0" r="0" b="7620"/>
            <wp:docPr id="97" name="Diagrama 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F921C64" w14:textId="77777777" w:rsidR="00535AA6" w:rsidRPr="00234253" w:rsidRDefault="00535AA6" w:rsidP="00535AA6">
      <w:pPr>
        <w:jc w:val="center"/>
        <w:rPr>
          <w:rFonts w:cs="Arial"/>
          <w:b/>
          <w:bCs/>
          <w:color w:val="000000"/>
          <w:sz w:val="18"/>
          <w:szCs w:val="18"/>
          <w:lang w:eastAsia="es-ES"/>
        </w:rPr>
      </w:pPr>
      <w:r w:rsidRPr="00234253">
        <w:rPr>
          <w:rFonts w:cs="Arial"/>
          <w:b/>
          <w:sz w:val="18"/>
          <w:szCs w:val="18"/>
        </w:rPr>
        <w:t>La figura muestra la comparación entre dos entidades.</w:t>
      </w:r>
    </w:p>
    <w:p w14:paraId="535813C6" w14:textId="77777777" w:rsidR="00535AA6" w:rsidRPr="00352A8C" w:rsidRDefault="00535AA6" w:rsidP="00F84159">
      <w:pPr>
        <w:rPr>
          <w:rFonts w:cs="Arial"/>
          <w:bCs/>
          <w:color w:val="000000"/>
          <w:szCs w:val="24"/>
          <w:lang w:eastAsia="es-ES"/>
        </w:rPr>
      </w:pPr>
    </w:p>
    <w:p w14:paraId="74FB7F0C" w14:textId="77777777" w:rsidR="00535AA6" w:rsidRPr="00352A8C" w:rsidRDefault="00535AA6" w:rsidP="00F84159">
      <w:pPr>
        <w:rPr>
          <w:rFonts w:cs="Arial"/>
          <w:bCs/>
          <w:color w:val="000000"/>
          <w:szCs w:val="24"/>
          <w:lang w:eastAsia="es-ES"/>
        </w:rPr>
      </w:pPr>
    </w:p>
    <w:p w14:paraId="6F45F3AE" w14:textId="77777777" w:rsidR="00F84159" w:rsidRPr="00352A8C" w:rsidRDefault="00234253" w:rsidP="00F84159">
      <w:pPr>
        <w:pStyle w:val="NormalWeb"/>
        <w:spacing w:line="210" w:lineRule="atLeast"/>
        <w:rPr>
          <w:rFonts w:ascii="Arial" w:hAnsi="Arial" w:cs="Arial"/>
          <w:bCs/>
          <w:color w:val="000000"/>
          <w:lang w:val="es-CO"/>
        </w:rPr>
      </w:pPr>
      <w:r>
        <w:rPr>
          <w:rFonts w:ascii="Arial" w:hAnsi="Arial" w:cs="Arial"/>
          <w:bCs/>
          <w:color w:val="000000"/>
          <w:lang w:val="es-CO"/>
        </w:rPr>
        <w:t>S</w:t>
      </w:r>
      <w:r w:rsidR="00F84159" w:rsidRPr="00352A8C">
        <w:rPr>
          <w:rFonts w:ascii="Arial" w:hAnsi="Arial" w:cs="Arial"/>
          <w:bCs/>
          <w:color w:val="000000"/>
          <w:lang w:val="es-CO"/>
        </w:rPr>
        <w:t>iguiendo a Rico (2014):</w:t>
      </w:r>
    </w:p>
    <w:p w14:paraId="69A25205" w14:textId="77777777" w:rsidR="00F84159" w:rsidRPr="00352A8C" w:rsidRDefault="00F84159" w:rsidP="00FB1F50">
      <w:pPr>
        <w:pStyle w:val="NormalWeb"/>
        <w:spacing w:line="210" w:lineRule="atLeast"/>
        <w:ind w:left="720"/>
        <w:rPr>
          <w:rFonts w:ascii="Arial" w:hAnsi="Arial" w:cs="Arial"/>
          <w:bCs/>
          <w:color w:val="000000"/>
          <w:lang w:val="es-CO"/>
        </w:rPr>
      </w:pPr>
      <w:r w:rsidRPr="00352A8C">
        <w:rPr>
          <w:rFonts w:ascii="Arial" w:hAnsi="Arial" w:cs="Arial"/>
          <w:bCs/>
          <w:color w:val="000000"/>
          <w:lang w:val="es-CO"/>
        </w:rPr>
        <w:t>Se trata de analizar cuál de las entidades es la que hace la transferencia de activos o incurre en un pasivo para soportar la transacción. Si se efectúa un intercambio de participaciones de patrimonio es necesario identificar qué sociedad es la emisora de dichos instrumentos y, salvo los temas de adquisiciones inver</w:t>
      </w:r>
      <w:r w:rsidR="00234253">
        <w:rPr>
          <w:rFonts w:ascii="Arial" w:hAnsi="Arial" w:cs="Arial"/>
          <w:bCs/>
          <w:color w:val="000000"/>
          <w:lang w:val="es-CO"/>
        </w:rPr>
        <w:t xml:space="preserve">sas, esta será la adquiriente. </w:t>
      </w:r>
      <w:r w:rsidRPr="00352A8C">
        <w:rPr>
          <w:rFonts w:ascii="Arial" w:hAnsi="Arial" w:cs="Arial"/>
          <w:bCs/>
          <w:color w:val="000000"/>
          <w:lang w:val="es-CO"/>
        </w:rPr>
        <w:t xml:space="preserve">Finalmente, hay que considerar el tamaño relativo, ya que se ha demostrado que las mayores adquisiciones en este aspecto son las que se identifican con la </w:t>
      </w:r>
      <w:r w:rsidR="00234253">
        <w:rPr>
          <w:rFonts w:ascii="Arial" w:hAnsi="Arial" w:cs="Arial"/>
          <w:bCs/>
          <w:color w:val="000000"/>
          <w:lang w:val="es-CO"/>
        </w:rPr>
        <w:t>pa</w:t>
      </w:r>
      <w:r w:rsidR="00A83D4E">
        <w:rPr>
          <w:rFonts w:ascii="Arial" w:hAnsi="Arial" w:cs="Arial"/>
          <w:bCs/>
          <w:color w:val="000000"/>
          <w:lang w:val="es-CO"/>
        </w:rPr>
        <w:t>rte que inicia la combinación. (p</w:t>
      </w:r>
      <w:r w:rsidRPr="00352A8C">
        <w:rPr>
          <w:rFonts w:ascii="Arial" w:hAnsi="Arial" w:cs="Arial"/>
          <w:bCs/>
          <w:color w:val="000000"/>
          <w:lang w:val="es-CO"/>
        </w:rPr>
        <w:t>. 73</w:t>
      </w:r>
      <w:r w:rsidR="00A83D4E">
        <w:rPr>
          <w:rFonts w:ascii="Arial" w:hAnsi="Arial" w:cs="Arial"/>
          <w:bCs/>
          <w:color w:val="000000"/>
          <w:lang w:val="es-CO"/>
        </w:rPr>
        <w:t>)</w:t>
      </w:r>
      <w:r w:rsidR="00234253">
        <w:rPr>
          <w:rFonts w:ascii="Arial" w:hAnsi="Arial" w:cs="Arial"/>
          <w:bCs/>
          <w:color w:val="000000"/>
          <w:lang w:val="es-CO"/>
        </w:rPr>
        <w:t>.</w:t>
      </w:r>
    </w:p>
    <w:p w14:paraId="133174BE" w14:textId="77777777" w:rsidR="00F84159" w:rsidRDefault="00F84159" w:rsidP="00F84159">
      <w:pPr>
        <w:pStyle w:val="NormalWeb"/>
        <w:spacing w:after="0" w:afterAutospacing="0" w:line="210" w:lineRule="atLeast"/>
        <w:rPr>
          <w:rFonts w:ascii="Arial" w:hAnsi="Arial" w:cs="Arial"/>
          <w:bCs/>
          <w:color w:val="000000"/>
          <w:lang w:val="es-CO"/>
        </w:rPr>
      </w:pPr>
      <w:r w:rsidRPr="00352A8C">
        <w:rPr>
          <w:rFonts w:ascii="Arial" w:hAnsi="Arial" w:cs="Arial"/>
          <w:bCs/>
          <w:color w:val="000000"/>
          <w:lang w:val="es-CO"/>
        </w:rPr>
        <w:lastRenderedPageBreak/>
        <w:t>La información más importante por identificar en el negocio son sus saldos actuales en cuentas de balance y los resultados de los últimos 5 años, de esta manera, se reconoce la capacidad de producir flujos de efectivo y la s</w:t>
      </w:r>
      <w:r w:rsidR="00234253">
        <w:rPr>
          <w:rFonts w:ascii="Arial" w:hAnsi="Arial" w:cs="Arial"/>
          <w:bCs/>
          <w:color w:val="000000"/>
          <w:lang w:val="es-CO"/>
        </w:rPr>
        <w:t xml:space="preserve">ituación financiera del mismo. </w:t>
      </w:r>
      <w:r w:rsidRPr="00352A8C">
        <w:rPr>
          <w:rFonts w:ascii="Arial" w:hAnsi="Arial" w:cs="Arial"/>
          <w:bCs/>
          <w:color w:val="000000"/>
          <w:lang w:val="es-CO"/>
        </w:rPr>
        <w:t xml:space="preserve">Por otro lado, en la </w:t>
      </w:r>
      <w:r w:rsidR="00E06D73" w:rsidRPr="00352A8C">
        <w:rPr>
          <w:rFonts w:ascii="Arial" w:hAnsi="Arial" w:cs="Arial"/>
          <w:bCs/>
          <w:color w:val="000000"/>
          <w:lang w:val="es-CO"/>
        </w:rPr>
        <w:t>adquisidora</w:t>
      </w:r>
      <w:r w:rsidRPr="00352A8C">
        <w:rPr>
          <w:rFonts w:ascii="Arial" w:hAnsi="Arial" w:cs="Arial"/>
          <w:bCs/>
          <w:color w:val="000000"/>
          <w:lang w:val="es-CO"/>
        </w:rPr>
        <w:t>, lo más importante a caracterizar es la composición patrimonial, a fin de determinar las reclasificaciones luego de la adquisición.</w:t>
      </w:r>
    </w:p>
    <w:p w14:paraId="6B585837" w14:textId="77777777" w:rsidR="000F5EED" w:rsidRPr="00352A8C" w:rsidRDefault="000F5EED" w:rsidP="00F84159">
      <w:pPr>
        <w:pStyle w:val="NormalWeb"/>
        <w:spacing w:after="0" w:afterAutospacing="0" w:line="210" w:lineRule="atLeast"/>
        <w:rPr>
          <w:rFonts w:ascii="Arial" w:hAnsi="Arial" w:cs="Arial"/>
          <w:bCs/>
          <w:color w:val="000000"/>
          <w:lang w:val="es-CO"/>
        </w:rPr>
      </w:pPr>
    </w:p>
    <w:p w14:paraId="373D22DA" w14:textId="77777777" w:rsidR="00F84159" w:rsidRPr="00352A8C" w:rsidRDefault="00E6315A" w:rsidP="00E6315A">
      <w:pPr>
        <w:rPr>
          <w:rFonts w:cs="Arial"/>
          <w:b/>
          <w:bCs/>
          <w:color w:val="000000"/>
          <w:szCs w:val="24"/>
          <w:lang w:eastAsia="es-ES"/>
        </w:rPr>
      </w:pPr>
      <w:r w:rsidRPr="00352A8C">
        <w:rPr>
          <w:rFonts w:cs="Arial"/>
          <w:b/>
          <w:bCs/>
          <w:color w:val="000000"/>
          <w:szCs w:val="24"/>
          <w:lang w:eastAsia="es-ES"/>
        </w:rPr>
        <w:t>2. D</w:t>
      </w:r>
      <w:r w:rsidR="00F84159" w:rsidRPr="00352A8C">
        <w:rPr>
          <w:rFonts w:cs="Arial"/>
          <w:b/>
          <w:bCs/>
          <w:color w:val="000000"/>
          <w:szCs w:val="24"/>
          <w:lang w:eastAsia="es-ES"/>
        </w:rPr>
        <w:t>eterminación de la fecha de adquisición</w:t>
      </w:r>
      <w:r w:rsidRPr="00352A8C">
        <w:rPr>
          <w:rFonts w:cs="Arial"/>
          <w:b/>
          <w:bCs/>
          <w:color w:val="000000"/>
          <w:szCs w:val="24"/>
          <w:lang w:eastAsia="es-ES"/>
        </w:rPr>
        <w:t xml:space="preserve"> y r</w:t>
      </w:r>
      <w:r w:rsidR="00F84159" w:rsidRPr="00352A8C">
        <w:rPr>
          <w:rFonts w:cs="Arial"/>
          <w:b/>
          <w:bCs/>
          <w:color w:val="000000"/>
          <w:szCs w:val="24"/>
          <w:lang w:eastAsia="es-ES"/>
        </w:rPr>
        <w:t>econocimiento</w:t>
      </w:r>
      <w:r w:rsidR="00234253">
        <w:rPr>
          <w:rFonts w:cs="Arial"/>
          <w:b/>
          <w:bCs/>
          <w:color w:val="000000"/>
          <w:szCs w:val="24"/>
          <w:lang w:eastAsia="es-ES"/>
        </w:rPr>
        <w:t>,</w:t>
      </w:r>
      <w:r w:rsidR="00F84159" w:rsidRPr="00352A8C">
        <w:rPr>
          <w:rFonts w:cs="Arial"/>
          <w:b/>
          <w:bCs/>
          <w:color w:val="000000"/>
          <w:szCs w:val="24"/>
          <w:lang w:eastAsia="es-ES"/>
        </w:rPr>
        <w:t xml:space="preserve"> y medición de los activos identificables adquiridos, de los pasivos asumidos y cualquier participación </w:t>
      </w:r>
      <w:r w:rsidR="00234253">
        <w:rPr>
          <w:rFonts w:cs="Arial"/>
          <w:b/>
          <w:bCs/>
          <w:color w:val="000000"/>
          <w:szCs w:val="24"/>
          <w:lang w:eastAsia="es-ES"/>
        </w:rPr>
        <w:t>no controladora en la adquirida</w:t>
      </w:r>
      <w:r w:rsidR="00F84159" w:rsidRPr="00352A8C">
        <w:rPr>
          <w:rFonts w:cs="Arial"/>
          <w:b/>
          <w:bCs/>
          <w:color w:val="000000"/>
          <w:szCs w:val="24"/>
          <w:lang w:eastAsia="es-ES"/>
        </w:rPr>
        <w:t xml:space="preserve"> </w:t>
      </w:r>
    </w:p>
    <w:p w14:paraId="3F6EDC30" w14:textId="77777777" w:rsidR="00F84159" w:rsidRPr="00352A8C" w:rsidRDefault="00F84159" w:rsidP="00F84159">
      <w:pPr>
        <w:pStyle w:val="Prrafodelista"/>
        <w:rPr>
          <w:rFonts w:cs="Arial"/>
          <w:bCs/>
          <w:color w:val="000000"/>
          <w:szCs w:val="24"/>
          <w:lang w:eastAsia="es-ES"/>
        </w:rPr>
      </w:pPr>
    </w:p>
    <w:p w14:paraId="1B01F2DC" w14:textId="77777777" w:rsidR="00F84159" w:rsidRPr="00352A8C" w:rsidRDefault="00F84159" w:rsidP="00F84159">
      <w:pPr>
        <w:rPr>
          <w:rFonts w:cs="Arial"/>
          <w:bCs/>
          <w:color w:val="000000"/>
          <w:szCs w:val="24"/>
          <w:lang w:eastAsia="es-ES"/>
        </w:rPr>
      </w:pPr>
      <w:r w:rsidRPr="00167927">
        <w:rPr>
          <w:rFonts w:cs="Arial"/>
          <w:bCs/>
          <w:color w:val="000000"/>
          <w:szCs w:val="24"/>
          <w:lang w:eastAsia="es-ES"/>
        </w:rPr>
        <w:t>La NIIF 3</w:t>
      </w:r>
      <w:r w:rsidRPr="00352A8C">
        <w:rPr>
          <w:rFonts w:cs="Arial"/>
          <w:bCs/>
          <w:color w:val="000000"/>
          <w:szCs w:val="24"/>
          <w:lang w:eastAsia="es-ES"/>
        </w:rPr>
        <w:t xml:space="preserve"> señala que debe establecerse con precisión la fecha de la transacción y la sustancia de aquella. La determinación de la fecha es importante, en tanto, las operaciones que llevaba a cabo el negocio a </w:t>
      </w:r>
      <w:r w:rsidR="00535AA6" w:rsidRPr="00352A8C">
        <w:rPr>
          <w:rFonts w:cs="Arial"/>
          <w:bCs/>
          <w:color w:val="000000"/>
          <w:szCs w:val="24"/>
          <w:lang w:eastAsia="es-ES"/>
        </w:rPr>
        <w:t>adquirir</w:t>
      </w:r>
      <w:r w:rsidRPr="00352A8C">
        <w:rPr>
          <w:rFonts w:cs="Arial"/>
          <w:bCs/>
          <w:color w:val="000000"/>
          <w:szCs w:val="24"/>
          <w:lang w:eastAsia="es-ES"/>
        </w:rPr>
        <w:t xml:space="preserve"> deben reclasificarse como discontinuos en los estados financieros, en el caso de hacer parte de un grupo de mayor envergadura.  </w:t>
      </w:r>
    </w:p>
    <w:p w14:paraId="34CE9819" w14:textId="77777777" w:rsidR="00F84159" w:rsidRPr="00352A8C" w:rsidRDefault="00F84159" w:rsidP="00F84159">
      <w:pPr>
        <w:rPr>
          <w:rFonts w:cs="Arial"/>
          <w:bCs/>
          <w:color w:val="000000"/>
          <w:szCs w:val="24"/>
          <w:lang w:eastAsia="es-ES"/>
        </w:rPr>
      </w:pPr>
    </w:p>
    <w:p w14:paraId="74ADB711" w14:textId="77777777" w:rsidR="00F84159" w:rsidRPr="00352A8C" w:rsidRDefault="00F84159" w:rsidP="00F84159">
      <w:pPr>
        <w:rPr>
          <w:rFonts w:cs="Arial"/>
          <w:bCs/>
          <w:color w:val="000000"/>
          <w:szCs w:val="24"/>
          <w:lang w:eastAsia="es-ES"/>
        </w:rPr>
      </w:pPr>
      <w:r w:rsidRPr="00352A8C">
        <w:rPr>
          <w:rFonts w:cs="Arial"/>
          <w:bCs/>
          <w:color w:val="000000"/>
          <w:szCs w:val="24"/>
          <w:lang w:eastAsia="es-ES"/>
        </w:rPr>
        <w:t>En ese sentido, lo que corresponde es definir el valor del negocio (medición de activos y pasivos) y definir el monto de la adquisión (precio) el día acordado para la transacción.</w:t>
      </w:r>
    </w:p>
    <w:p w14:paraId="47550C06" w14:textId="77777777" w:rsidR="00F84159" w:rsidRPr="00352A8C" w:rsidRDefault="00F84159" w:rsidP="00F84159">
      <w:pPr>
        <w:rPr>
          <w:rFonts w:cs="Arial"/>
          <w:bCs/>
          <w:color w:val="000000"/>
          <w:szCs w:val="24"/>
          <w:lang w:eastAsia="es-ES"/>
        </w:rPr>
      </w:pPr>
    </w:p>
    <w:p w14:paraId="24BB1DF8" w14:textId="77777777" w:rsidR="00F84159" w:rsidRPr="00352A8C" w:rsidRDefault="00F84159" w:rsidP="00F84159">
      <w:pPr>
        <w:rPr>
          <w:rFonts w:cs="Arial"/>
          <w:bCs/>
          <w:color w:val="000000"/>
          <w:szCs w:val="24"/>
          <w:lang w:eastAsia="es-ES"/>
        </w:rPr>
      </w:pPr>
      <w:r w:rsidRPr="00352A8C">
        <w:rPr>
          <w:rFonts w:cs="Arial"/>
          <w:bCs/>
          <w:color w:val="000000"/>
          <w:szCs w:val="24"/>
          <w:lang w:eastAsia="es-ES"/>
        </w:rPr>
        <w:t>Posteriormente, siguiendo a Rico (2014)</w:t>
      </w:r>
      <w:r w:rsidR="00B93826">
        <w:rPr>
          <w:rFonts w:cs="Arial"/>
          <w:bCs/>
          <w:color w:val="000000"/>
          <w:szCs w:val="24"/>
          <w:lang w:eastAsia="es-ES"/>
        </w:rPr>
        <w:t>:</w:t>
      </w:r>
      <w:r w:rsidRPr="00352A8C">
        <w:rPr>
          <w:rFonts w:cs="Arial"/>
          <w:bCs/>
          <w:color w:val="000000"/>
          <w:szCs w:val="24"/>
          <w:lang w:eastAsia="es-ES"/>
        </w:rPr>
        <w:t xml:space="preserve"> </w:t>
      </w:r>
    </w:p>
    <w:p w14:paraId="39797A20" w14:textId="77777777" w:rsidR="00535AA6" w:rsidRPr="00352A8C" w:rsidRDefault="00535AA6" w:rsidP="00F84159">
      <w:pPr>
        <w:rPr>
          <w:rFonts w:cs="Arial"/>
          <w:bCs/>
          <w:color w:val="000000"/>
          <w:szCs w:val="24"/>
          <w:lang w:eastAsia="es-ES"/>
        </w:rPr>
      </w:pPr>
    </w:p>
    <w:p w14:paraId="044EFEF6" w14:textId="77777777" w:rsidR="00F84159" w:rsidRPr="00352A8C" w:rsidRDefault="00535AA6" w:rsidP="008D537B">
      <w:pPr>
        <w:ind w:left="426"/>
        <w:rPr>
          <w:rFonts w:cs="Arial"/>
          <w:bCs/>
          <w:color w:val="000000"/>
          <w:szCs w:val="24"/>
          <w:lang w:eastAsia="es-ES"/>
        </w:rPr>
      </w:pPr>
      <w:r w:rsidRPr="00352A8C">
        <w:rPr>
          <w:rFonts w:cs="Arial"/>
          <w:bCs/>
          <w:color w:val="000000"/>
          <w:szCs w:val="24"/>
          <w:lang w:eastAsia="es-ES"/>
        </w:rPr>
        <w:t>E</w:t>
      </w:r>
      <w:r w:rsidR="00F84159" w:rsidRPr="00352A8C">
        <w:rPr>
          <w:rFonts w:cs="Arial"/>
          <w:bCs/>
          <w:color w:val="000000"/>
          <w:szCs w:val="24"/>
          <w:lang w:eastAsia="es-ES"/>
        </w:rPr>
        <w:t>l estándar señala que</w:t>
      </w:r>
      <w:r w:rsidR="00A83D4E">
        <w:rPr>
          <w:rFonts w:cs="Arial"/>
          <w:bCs/>
          <w:color w:val="000000"/>
          <w:szCs w:val="24"/>
          <w:lang w:eastAsia="es-ES"/>
        </w:rPr>
        <w:t>,</w:t>
      </w:r>
      <w:r w:rsidR="00F84159" w:rsidRPr="00352A8C">
        <w:rPr>
          <w:rFonts w:cs="Arial"/>
          <w:bCs/>
          <w:color w:val="000000"/>
          <w:szCs w:val="24"/>
          <w:lang w:eastAsia="es-ES"/>
        </w:rPr>
        <w:t xml:space="preserve"> de acuerdo con el método de adquisición</w:t>
      </w:r>
      <w:r w:rsidR="00A83D4E">
        <w:rPr>
          <w:rFonts w:cs="Arial"/>
          <w:bCs/>
          <w:color w:val="000000"/>
          <w:szCs w:val="24"/>
          <w:lang w:eastAsia="es-ES"/>
        </w:rPr>
        <w:t>,</w:t>
      </w:r>
      <w:r w:rsidR="00F84159" w:rsidRPr="00352A8C">
        <w:rPr>
          <w:rFonts w:cs="Arial"/>
          <w:bCs/>
          <w:color w:val="000000"/>
          <w:szCs w:val="24"/>
          <w:lang w:eastAsia="es-ES"/>
        </w:rPr>
        <w:t xml:space="preserve"> debe reconocerse la transacción, tomando como referencia la fecha de ocurrencia de esta, l</w:t>
      </w:r>
      <w:r w:rsidR="00A83D4E">
        <w:rPr>
          <w:rFonts w:cs="Arial"/>
          <w:bCs/>
          <w:color w:val="000000"/>
          <w:szCs w:val="24"/>
          <w:lang w:eastAsia="es-ES"/>
        </w:rPr>
        <w:t>os activos y pasivos adquiridos</w:t>
      </w:r>
      <w:r w:rsidR="00F84159" w:rsidRPr="00352A8C">
        <w:rPr>
          <w:rFonts w:cs="Arial"/>
          <w:bCs/>
          <w:color w:val="000000"/>
          <w:szCs w:val="24"/>
          <w:lang w:eastAsia="es-ES"/>
        </w:rPr>
        <w:t xml:space="preserve"> que sean plenamente identificables. Para que estos recursos y obligaciones se puedan incluir en los estados financieros de la adquiriente, es necesario que cumplan con las definiciones de estos elementos, indicadas en el marco conceptual para la presentación de reportes financieros. (p. 78)</w:t>
      </w:r>
      <w:r w:rsidR="00B93826">
        <w:rPr>
          <w:rFonts w:cs="Arial"/>
          <w:bCs/>
          <w:color w:val="000000"/>
          <w:szCs w:val="24"/>
          <w:lang w:eastAsia="es-ES"/>
        </w:rPr>
        <w:t>.</w:t>
      </w:r>
    </w:p>
    <w:p w14:paraId="6597D4F8" w14:textId="77777777" w:rsidR="00535AA6" w:rsidRPr="00352A8C" w:rsidRDefault="00535AA6" w:rsidP="00535AA6">
      <w:pPr>
        <w:rPr>
          <w:rFonts w:cs="Arial"/>
          <w:bCs/>
          <w:color w:val="000000"/>
          <w:szCs w:val="24"/>
          <w:lang w:eastAsia="es-ES"/>
        </w:rPr>
      </w:pPr>
    </w:p>
    <w:p w14:paraId="0CD21161" w14:textId="77777777" w:rsidR="00535AA6" w:rsidRPr="00352A8C" w:rsidRDefault="00535AA6" w:rsidP="00535AA6">
      <w:pPr>
        <w:jc w:val="center"/>
        <w:rPr>
          <w:rFonts w:cs="Arial"/>
          <w:b/>
          <w:bCs/>
          <w:color w:val="000000"/>
          <w:szCs w:val="24"/>
          <w:lang w:eastAsia="es-ES"/>
        </w:rPr>
      </w:pPr>
      <w:r w:rsidRPr="00352A8C">
        <w:rPr>
          <w:rFonts w:cs="Arial"/>
          <w:b/>
          <w:noProof/>
          <w:szCs w:val="24"/>
          <w:lang w:val="en-US" w:eastAsia="en-US"/>
        </w:rPr>
        <w:drawing>
          <wp:inline distT="0" distB="0" distL="0" distR="0" wp14:anchorId="12F2F679" wp14:editId="0DE63B87">
            <wp:extent cx="4895850" cy="1562100"/>
            <wp:effectExtent l="0" t="0" r="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5850" cy="1562100"/>
                    </a:xfrm>
                    <a:prstGeom prst="rect">
                      <a:avLst/>
                    </a:prstGeom>
                  </pic:spPr>
                </pic:pic>
              </a:graphicData>
            </a:graphic>
          </wp:inline>
        </w:drawing>
      </w:r>
    </w:p>
    <w:p w14:paraId="71F15D33" w14:textId="77777777" w:rsidR="00535AA6" w:rsidRPr="00B93826" w:rsidRDefault="00535AA6" w:rsidP="00535AA6">
      <w:pPr>
        <w:jc w:val="center"/>
        <w:rPr>
          <w:rFonts w:cs="Arial"/>
          <w:b/>
          <w:sz w:val="18"/>
          <w:szCs w:val="18"/>
        </w:rPr>
      </w:pPr>
    </w:p>
    <w:p w14:paraId="539158C0" w14:textId="77777777" w:rsidR="00F84159" w:rsidRPr="00B93826" w:rsidRDefault="00535AA6" w:rsidP="00535AA6">
      <w:pPr>
        <w:jc w:val="center"/>
        <w:rPr>
          <w:rFonts w:cs="Arial"/>
          <w:b/>
          <w:bCs/>
          <w:color w:val="000000"/>
          <w:sz w:val="18"/>
          <w:szCs w:val="18"/>
          <w:lang w:eastAsia="es-ES"/>
        </w:rPr>
      </w:pPr>
      <w:r w:rsidRPr="00B93826">
        <w:rPr>
          <w:rFonts w:cs="Arial"/>
          <w:b/>
          <w:sz w:val="18"/>
          <w:szCs w:val="18"/>
        </w:rPr>
        <w:t>Evolución histórica del proceso de consolidación</w:t>
      </w:r>
      <w:r w:rsidR="00E570E9">
        <w:rPr>
          <w:rFonts w:cs="Arial"/>
          <w:b/>
          <w:sz w:val="18"/>
          <w:szCs w:val="18"/>
        </w:rPr>
        <w:t>.</w:t>
      </w:r>
    </w:p>
    <w:p w14:paraId="0A0694E5" w14:textId="77777777" w:rsidR="00F84159" w:rsidRPr="00352A8C" w:rsidRDefault="00F84159" w:rsidP="00F84159">
      <w:pPr>
        <w:rPr>
          <w:rFonts w:cs="Arial"/>
          <w:szCs w:val="24"/>
        </w:rPr>
      </w:pPr>
    </w:p>
    <w:p w14:paraId="398AD22F" w14:textId="77777777" w:rsidR="00F84159" w:rsidRPr="00352A8C" w:rsidRDefault="00F84159" w:rsidP="00F84159">
      <w:pPr>
        <w:rPr>
          <w:rFonts w:cs="Arial"/>
          <w:bCs/>
          <w:color w:val="000000"/>
          <w:szCs w:val="24"/>
          <w:lang w:eastAsia="es-ES"/>
        </w:rPr>
      </w:pPr>
    </w:p>
    <w:p w14:paraId="1DAE295F" w14:textId="77777777" w:rsidR="00F84159" w:rsidRPr="00352A8C" w:rsidRDefault="00F84159" w:rsidP="00F84159">
      <w:pPr>
        <w:rPr>
          <w:rFonts w:cs="Arial"/>
          <w:bCs/>
          <w:color w:val="000000"/>
          <w:szCs w:val="24"/>
          <w:lang w:eastAsia="es-ES"/>
        </w:rPr>
      </w:pPr>
      <w:r w:rsidRPr="00352A8C">
        <w:rPr>
          <w:rFonts w:cs="Arial"/>
          <w:bCs/>
          <w:color w:val="000000"/>
          <w:szCs w:val="24"/>
          <w:lang w:eastAsia="es-ES"/>
        </w:rPr>
        <w:t xml:space="preserve">Una vez efectuado el reconocimiento de los activos y pasivos, se recurre al principio de medición, el cual indica que estos elementos deben asumirse a sus valores </w:t>
      </w:r>
      <w:r w:rsidRPr="00352A8C">
        <w:rPr>
          <w:rFonts w:cs="Arial"/>
          <w:bCs/>
          <w:color w:val="000000"/>
          <w:szCs w:val="24"/>
          <w:lang w:eastAsia="es-ES"/>
        </w:rPr>
        <w:lastRenderedPageBreak/>
        <w:t xml:space="preserve">razonables en la fecha de adquisición, es decir, se deben valorar por la capacidad de producir flujos de efectivo en la operación. </w:t>
      </w:r>
    </w:p>
    <w:p w14:paraId="3D75E240" w14:textId="77777777" w:rsidR="00F84159" w:rsidRPr="00352A8C" w:rsidRDefault="00F84159" w:rsidP="00F84159">
      <w:pPr>
        <w:rPr>
          <w:rFonts w:cs="Arial"/>
          <w:bCs/>
          <w:color w:val="000000"/>
          <w:szCs w:val="24"/>
          <w:lang w:eastAsia="es-ES"/>
        </w:rPr>
      </w:pPr>
    </w:p>
    <w:p w14:paraId="6E7588B0" w14:textId="77777777" w:rsidR="00F84159" w:rsidRPr="00352A8C" w:rsidRDefault="00F84159" w:rsidP="00F84159">
      <w:pPr>
        <w:rPr>
          <w:rFonts w:cs="Arial"/>
          <w:bCs/>
          <w:color w:val="000000"/>
          <w:szCs w:val="24"/>
          <w:lang w:eastAsia="es-ES"/>
        </w:rPr>
      </w:pPr>
      <w:r w:rsidRPr="00352A8C">
        <w:rPr>
          <w:rFonts w:cs="Arial"/>
          <w:bCs/>
          <w:color w:val="000000"/>
          <w:szCs w:val="24"/>
          <w:lang w:eastAsia="es-ES"/>
        </w:rPr>
        <w:t>Tal como lo indica Rico (2014)</w:t>
      </w:r>
      <w:r w:rsidR="00B93826">
        <w:rPr>
          <w:rFonts w:cs="Arial"/>
          <w:bCs/>
          <w:color w:val="000000"/>
          <w:szCs w:val="24"/>
          <w:lang w:eastAsia="es-ES"/>
        </w:rPr>
        <w:t>:</w:t>
      </w:r>
    </w:p>
    <w:p w14:paraId="2E09C72B" w14:textId="77777777" w:rsidR="00F84159" w:rsidRPr="00352A8C" w:rsidRDefault="00F84159" w:rsidP="00F84159">
      <w:pPr>
        <w:rPr>
          <w:rFonts w:cs="Arial"/>
          <w:bCs/>
          <w:color w:val="000000"/>
          <w:szCs w:val="24"/>
          <w:lang w:eastAsia="es-ES"/>
        </w:rPr>
      </w:pPr>
    </w:p>
    <w:p w14:paraId="482A8095" w14:textId="77777777" w:rsidR="00F84159" w:rsidRPr="00352A8C" w:rsidRDefault="00F84159" w:rsidP="000F5EED">
      <w:pPr>
        <w:ind w:left="720"/>
        <w:rPr>
          <w:rFonts w:cs="Arial"/>
          <w:szCs w:val="24"/>
        </w:rPr>
      </w:pPr>
      <w:r w:rsidRPr="00352A8C">
        <w:rPr>
          <w:rFonts w:cs="Arial"/>
          <w:bCs/>
          <w:color w:val="000000"/>
          <w:szCs w:val="24"/>
          <w:lang w:eastAsia="es-ES"/>
        </w:rPr>
        <w:t xml:space="preserve">En este proceso se </w:t>
      </w:r>
      <w:r w:rsidR="00AA6B44">
        <w:rPr>
          <w:rFonts w:cs="Arial"/>
          <w:bCs/>
          <w:color w:val="000000"/>
          <w:szCs w:val="24"/>
          <w:lang w:eastAsia="es-ES"/>
        </w:rPr>
        <w:t xml:space="preserve">tiene </w:t>
      </w:r>
      <w:r w:rsidRPr="00352A8C">
        <w:rPr>
          <w:rFonts w:cs="Arial"/>
          <w:bCs/>
          <w:color w:val="000000"/>
          <w:szCs w:val="24"/>
          <w:lang w:eastAsia="es-ES"/>
        </w:rPr>
        <w:t>en cuenta diferentes criterios que deben ser aplicados a partidas como pasivos contingentes, impuesto a las ganancias, beneficios a empleados, activos de indemnización, derechos readquiridos, pagos basados en acciones y activos mantenidos para la venta. La introducción de la medición a valor razonable a los activos y pasivos que están en el proceso de combinación de negocios no es un tema sencillo, especialmente</w:t>
      </w:r>
      <w:r w:rsidR="00AA6B44">
        <w:rPr>
          <w:rFonts w:cs="Arial"/>
          <w:bCs/>
          <w:color w:val="000000"/>
          <w:szCs w:val="24"/>
          <w:lang w:eastAsia="es-ES"/>
        </w:rPr>
        <w:t>,</w:t>
      </w:r>
      <w:r w:rsidRPr="00352A8C">
        <w:rPr>
          <w:rFonts w:cs="Arial"/>
          <w:bCs/>
          <w:color w:val="000000"/>
          <w:szCs w:val="24"/>
          <w:lang w:eastAsia="es-ES"/>
        </w:rPr>
        <w:t xml:space="preserve"> para elementos que no tienen referencia de su valor en mercados de valores abiertos ni para los que tendrán que utilizar modelos de flujos descontados de caja sustentados en datos no estandarizados. (p. 78)</w:t>
      </w:r>
      <w:r w:rsidR="00AA6B44">
        <w:rPr>
          <w:rFonts w:cs="Arial"/>
          <w:bCs/>
          <w:color w:val="000000"/>
          <w:szCs w:val="24"/>
          <w:lang w:eastAsia="es-ES"/>
        </w:rPr>
        <w:t>.</w:t>
      </w:r>
    </w:p>
    <w:p w14:paraId="2193A44E" w14:textId="77777777" w:rsidR="00F84159" w:rsidRPr="00352A8C" w:rsidRDefault="00F84159" w:rsidP="00F84159">
      <w:pPr>
        <w:rPr>
          <w:rFonts w:cs="Arial"/>
          <w:bCs/>
          <w:color w:val="000000"/>
          <w:szCs w:val="24"/>
          <w:lang w:eastAsia="es-ES"/>
        </w:rPr>
      </w:pPr>
    </w:p>
    <w:p w14:paraId="38130573" w14:textId="77777777" w:rsidR="00F84159" w:rsidRPr="00352A8C" w:rsidRDefault="00F57BA7" w:rsidP="00E6315A">
      <w:pPr>
        <w:rPr>
          <w:rFonts w:cs="Arial"/>
          <w:b/>
          <w:bCs/>
          <w:color w:val="000000"/>
          <w:szCs w:val="24"/>
          <w:lang w:eastAsia="es-ES"/>
        </w:rPr>
      </w:pPr>
      <w:r w:rsidRPr="00352A8C">
        <w:rPr>
          <w:rFonts w:cs="Arial"/>
          <w:b/>
          <w:bCs/>
          <w:color w:val="000000"/>
          <w:szCs w:val="24"/>
          <w:lang w:eastAsia="es-ES"/>
        </w:rPr>
        <w:t>3</w:t>
      </w:r>
      <w:r w:rsidR="00E6315A" w:rsidRPr="00352A8C">
        <w:rPr>
          <w:rFonts w:cs="Arial"/>
          <w:b/>
          <w:bCs/>
          <w:color w:val="000000"/>
          <w:szCs w:val="24"/>
          <w:lang w:eastAsia="es-ES"/>
        </w:rPr>
        <w:t>. R</w:t>
      </w:r>
      <w:r w:rsidR="00F84159" w:rsidRPr="00352A8C">
        <w:rPr>
          <w:rFonts w:cs="Arial"/>
          <w:b/>
          <w:bCs/>
          <w:color w:val="000000"/>
          <w:szCs w:val="24"/>
          <w:lang w:eastAsia="es-ES"/>
        </w:rPr>
        <w:t>econocimiento y medición de la plusvalía o ganancia por co</w:t>
      </w:r>
      <w:r w:rsidR="00E6315A" w:rsidRPr="00352A8C">
        <w:rPr>
          <w:rFonts w:cs="Arial"/>
          <w:b/>
          <w:bCs/>
          <w:color w:val="000000"/>
          <w:szCs w:val="24"/>
          <w:lang w:eastAsia="es-ES"/>
        </w:rPr>
        <w:t>mpra en términos muy ventajosos</w:t>
      </w:r>
    </w:p>
    <w:p w14:paraId="4CC4E0B2" w14:textId="77777777" w:rsidR="00F84159" w:rsidRPr="00352A8C" w:rsidRDefault="00F84159" w:rsidP="00F84159">
      <w:pPr>
        <w:pStyle w:val="Prrafodelista"/>
        <w:rPr>
          <w:rFonts w:cs="Arial"/>
          <w:bCs/>
          <w:color w:val="000000"/>
          <w:szCs w:val="24"/>
          <w:lang w:eastAsia="es-ES"/>
        </w:rPr>
      </w:pPr>
    </w:p>
    <w:p w14:paraId="37ECF74A" w14:textId="77777777" w:rsidR="00F84159" w:rsidRPr="00352A8C" w:rsidRDefault="00F84159" w:rsidP="00F84159">
      <w:pPr>
        <w:rPr>
          <w:rFonts w:cs="Arial"/>
          <w:bCs/>
          <w:color w:val="000000"/>
          <w:szCs w:val="24"/>
          <w:lang w:eastAsia="es-ES"/>
        </w:rPr>
      </w:pPr>
      <w:r w:rsidRPr="00921375">
        <w:rPr>
          <w:rFonts w:cs="Arial"/>
          <w:bCs/>
          <w:color w:val="000000"/>
          <w:szCs w:val="24"/>
          <w:lang w:eastAsia="es-ES"/>
        </w:rPr>
        <w:t>La NIIF 3</w:t>
      </w:r>
      <w:r w:rsidRPr="00352A8C">
        <w:rPr>
          <w:rFonts w:cs="Arial"/>
          <w:bCs/>
          <w:color w:val="000000"/>
          <w:szCs w:val="24"/>
          <w:lang w:eastAsia="es-ES"/>
        </w:rPr>
        <w:t xml:space="preserve"> plantea que luego de realizar el reconocimiento, designación y valoración de los activos y pasivos identificables, así como el registro de los intereses minoritarios, por ello, de acuerdo con Rico (2014) “es necesario proceder a reconocer y medir igualmente la plusvalía generada o, por el contrario, una ganancia por compra en términos muy ventajosos, que es asimilable a un ingreso”</w:t>
      </w:r>
      <w:r w:rsidR="00921375">
        <w:rPr>
          <w:rFonts w:cs="Arial"/>
          <w:bCs/>
          <w:color w:val="000000"/>
          <w:szCs w:val="24"/>
          <w:lang w:eastAsia="es-ES"/>
        </w:rPr>
        <w:t>.</w:t>
      </w:r>
      <w:r w:rsidRPr="00352A8C">
        <w:rPr>
          <w:rFonts w:cs="Arial"/>
          <w:bCs/>
          <w:color w:val="000000"/>
          <w:szCs w:val="24"/>
          <w:lang w:eastAsia="es-ES"/>
        </w:rPr>
        <w:t xml:space="preserve"> (p. 82)</w:t>
      </w:r>
      <w:r w:rsidR="00535AA6" w:rsidRPr="00352A8C">
        <w:rPr>
          <w:rFonts w:cs="Arial"/>
          <w:bCs/>
          <w:color w:val="000000"/>
          <w:szCs w:val="24"/>
          <w:lang w:eastAsia="es-ES"/>
        </w:rPr>
        <w:t>.</w:t>
      </w:r>
    </w:p>
    <w:p w14:paraId="18D79792" w14:textId="77777777" w:rsidR="00F84159" w:rsidRPr="00352A8C" w:rsidRDefault="00F84159" w:rsidP="00F84159">
      <w:pPr>
        <w:rPr>
          <w:rFonts w:cs="Arial"/>
          <w:bCs/>
          <w:color w:val="000000"/>
          <w:szCs w:val="24"/>
          <w:lang w:eastAsia="es-ES"/>
        </w:rPr>
      </w:pPr>
    </w:p>
    <w:p w14:paraId="21DE6CAB" w14:textId="77777777" w:rsidR="00F84159" w:rsidRPr="00352A8C" w:rsidRDefault="00535AA6" w:rsidP="00F84159">
      <w:pPr>
        <w:rPr>
          <w:rFonts w:cs="Arial"/>
          <w:bCs/>
          <w:color w:val="000000"/>
          <w:szCs w:val="24"/>
          <w:lang w:eastAsia="es-ES"/>
        </w:rPr>
      </w:pPr>
      <w:r w:rsidRPr="00352A8C">
        <w:rPr>
          <w:rFonts w:cs="Arial"/>
          <w:noProof/>
          <w:szCs w:val="24"/>
          <w:lang w:val="en-US" w:eastAsia="en-US"/>
        </w:rPr>
        <w:drawing>
          <wp:inline distT="0" distB="0" distL="0" distR="0" wp14:anchorId="54866D07" wp14:editId="44118E38">
            <wp:extent cx="3228975" cy="1733550"/>
            <wp:effectExtent l="0" t="0" r="9525"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8975" cy="1733550"/>
                    </a:xfrm>
                    <a:prstGeom prst="rect">
                      <a:avLst/>
                    </a:prstGeom>
                  </pic:spPr>
                </pic:pic>
              </a:graphicData>
            </a:graphic>
          </wp:inline>
        </w:drawing>
      </w:r>
    </w:p>
    <w:p w14:paraId="6CFBB189" w14:textId="77777777" w:rsidR="00535AA6" w:rsidRPr="00361364" w:rsidRDefault="00535AA6" w:rsidP="00535AA6">
      <w:pPr>
        <w:jc w:val="center"/>
        <w:rPr>
          <w:rFonts w:cs="Arial"/>
          <w:b/>
          <w:bCs/>
          <w:color w:val="000000"/>
          <w:sz w:val="18"/>
          <w:szCs w:val="18"/>
          <w:lang w:eastAsia="es-ES"/>
        </w:rPr>
      </w:pPr>
      <w:r w:rsidRPr="00361364">
        <w:rPr>
          <w:rFonts w:cs="Arial"/>
          <w:b/>
          <w:sz w:val="18"/>
          <w:szCs w:val="18"/>
        </w:rPr>
        <w:t>La figura muestra la forma en cómo las empresas reconocen el interés minoritario y la plusvalía.</w:t>
      </w:r>
    </w:p>
    <w:p w14:paraId="0ED6D7AC" w14:textId="77777777" w:rsidR="00535AA6" w:rsidRPr="00352A8C" w:rsidRDefault="00535AA6" w:rsidP="00F84159">
      <w:pPr>
        <w:rPr>
          <w:rFonts w:cs="Arial"/>
          <w:bCs/>
          <w:color w:val="000000"/>
          <w:szCs w:val="24"/>
          <w:lang w:eastAsia="es-ES"/>
        </w:rPr>
      </w:pPr>
    </w:p>
    <w:p w14:paraId="631CA18C" w14:textId="77777777" w:rsidR="002E212D" w:rsidRPr="00352A8C" w:rsidRDefault="00E06D73" w:rsidP="00F84159">
      <w:pPr>
        <w:rPr>
          <w:rFonts w:cs="Arial"/>
          <w:szCs w:val="24"/>
        </w:rPr>
      </w:pPr>
      <w:r w:rsidRPr="00352A8C">
        <w:rPr>
          <w:rFonts w:cs="Arial"/>
          <w:szCs w:val="24"/>
          <w:highlight w:val="yellow"/>
        </w:rPr>
        <w:t>Elaborado a partir de Rico</w:t>
      </w:r>
      <w:r w:rsidRPr="00352A8C">
        <w:rPr>
          <w:rFonts w:cs="Arial"/>
          <w:bCs/>
          <w:color w:val="000000"/>
          <w:szCs w:val="24"/>
          <w:highlight w:val="yellow"/>
        </w:rPr>
        <w:t>, 2014.</w:t>
      </w:r>
    </w:p>
    <w:sectPr w:rsidR="002E212D" w:rsidRPr="00352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05086"/>
    <w:multiLevelType w:val="hybridMultilevel"/>
    <w:tmpl w:val="FE4AE8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43"/>
    <w:rsid w:val="00071B60"/>
    <w:rsid w:val="000F5EED"/>
    <w:rsid w:val="00167927"/>
    <w:rsid w:val="00234253"/>
    <w:rsid w:val="002E212D"/>
    <w:rsid w:val="00352A8C"/>
    <w:rsid w:val="00361364"/>
    <w:rsid w:val="003779B9"/>
    <w:rsid w:val="00535AA6"/>
    <w:rsid w:val="007227FA"/>
    <w:rsid w:val="008077EA"/>
    <w:rsid w:val="008808E0"/>
    <w:rsid w:val="008C1B43"/>
    <w:rsid w:val="008D537B"/>
    <w:rsid w:val="008F0211"/>
    <w:rsid w:val="00921375"/>
    <w:rsid w:val="00981321"/>
    <w:rsid w:val="00A83D4E"/>
    <w:rsid w:val="00AA6B44"/>
    <w:rsid w:val="00B93826"/>
    <w:rsid w:val="00BD23DE"/>
    <w:rsid w:val="00DE5E73"/>
    <w:rsid w:val="00E06D73"/>
    <w:rsid w:val="00E570E9"/>
    <w:rsid w:val="00E6315A"/>
    <w:rsid w:val="00F57BA7"/>
    <w:rsid w:val="00F84159"/>
    <w:rsid w:val="00FB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794"/>
  <w15:chartTrackingRefBased/>
  <w15:docId w15:val="{9E8E0532-2996-4DA2-93C5-90485EB3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59"/>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1B43"/>
    <w:pPr>
      <w:spacing w:before="100" w:beforeAutospacing="1" w:after="100" w:afterAutospacing="1"/>
    </w:pPr>
    <w:rPr>
      <w:rFonts w:ascii="Times New Roman" w:hAnsi="Times New Roman"/>
      <w:szCs w:val="24"/>
      <w:lang w:val="en-US"/>
    </w:rPr>
  </w:style>
  <w:style w:type="paragraph" w:styleId="Prrafodelista">
    <w:name w:val="List Paragraph"/>
    <w:basedOn w:val="Normal"/>
    <w:uiPriority w:val="99"/>
    <w:qFormat/>
    <w:rsid w:val="00F84159"/>
    <w:pPr>
      <w:ind w:left="720"/>
      <w:contextualSpacing/>
    </w:pPr>
  </w:style>
  <w:style w:type="paragraph" w:styleId="Piedepgina">
    <w:name w:val="footer"/>
    <w:basedOn w:val="Normal"/>
    <w:link w:val="PiedepginaCar"/>
    <w:uiPriority w:val="99"/>
    <w:unhideWhenUsed/>
    <w:rsid w:val="00F84159"/>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F84159"/>
    <w:rPr>
      <w:rFonts w:eastAsiaTheme="minorEastAsia"/>
      <w:sz w:val="24"/>
      <w:szCs w:val="24"/>
      <w:lang w:val="es-ES_tradnl" w:eastAsia="es-ES"/>
    </w:rPr>
  </w:style>
  <w:style w:type="paragraph" w:styleId="Descripcin">
    <w:name w:val="caption"/>
    <w:basedOn w:val="Normal"/>
    <w:next w:val="Normal"/>
    <w:uiPriority w:val="35"/>
    <w:unhideWhenUsed/>
    <w:qFormat/>
    <w:rsid w:val="00F84159"/>
    <w:pPr>
      <w:spacing w:after="200"/>
    </w:pPr>
    <w:rPr>
      <w:b/>
      <w:bCs/>
      <w:color w:val="5B9BD5" w:themeColor="accent1"/>
      <w:sz w:val="18"/>
      <w:szCs w:val="18"/>
    </w:rPr>
  </w:style>
  <w:style w:type="character" w:styleId="Hipervnculo">
    <w:name w:val="Hyperlink"/>
    <w:basedOn w:val="Fuentedeprrafopredeter"/>
    <w:uiPriority w:val="99"/>
    <w:semiHidden/>
    <w:unhideWhenUsed/>
    <w:rsid w:val="00722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hyperlink" Target="http://virtual.umng.edu.co/distancia/ecosistema/ovas/ingenieria_informatica/herramientas_y_soluciones_para_el_aprendizaje_en_la_web/unidad_3/medios/interactividades/pat7/pat7.html"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40016-0DC5-40D9-B78F-E6ECA1DA69A8}" type="doc">
      <dgm:prSet loTypeId="urn:microsoft.com/office/officeart/2005/8/layout/equation2" loCatId="relationship" qsTypeId="urn:microsoft.com/office/officeart/2005/8/quickstyle/simple1" qsCatId="simple" csTypeId="urn:microsoft.com/office/officeart/2005/8/colors/colorful2" csCatId="colorful" phldr="1"/>
      <dgm:spPr/>
    </dgm:pt>
    <dgm:pt modelId="{1846FE09-4696-45A9-92ED-20DC876ECD12}">
      <dgm:prSet phldrT="[Texto]"/>
      <dgm:spPr/>
      <dgm:t>
        <a:bodyPr/>
        <a:lstStyle/>
        <a:p>
          <a:pPr algn="ctr"/>
          <a:r>
            <a:rPr lang="es-CO"/>
            <a:t>A</a:t>
          </a:r>
        </a:p>
      </dgm:t>
    </dgm:pt>
    <dgm:pt modelId="{57A79244-E06E-49C1-B9DB-5670263A111F}" type="parTrans" cxnId="{28D490AE-07E2-41CD-BB15-827CAE0CF3EA}">
      <dgm:prSet/>
      <dgm:spPr/>
      <dgm:t>
        <a:bodyPr/>
        <a:lstStyle/>
        <a:p>
          <a:pPr algn="ctr"/>
          <a:endParaRPr lang="es-CO"/>
        </a:p>
      </dgm:t>
    </dgm:pt>
    <dgm:pt modelId="{731914CC-6AF3-494D-AE94-5C633CF93AEB}" type="sibTrans" cxnId="{28D490AE-07E2-41CD-BB15-827CAE0CF3EA}">
      <dgm:prSet/>
      <dgm:spPr/>
      <dgm:t>
        <a:bodyPr/>
        <a:lstStyle/>
        <a:p>
          <a:pPr algn="ctr"/>
          <a:endParaRPr lang="es-CO"/>
        </a:p>
      </dgm:t>
    </dgm:pt>
    <dgm:pt modelId="{377410C4-1A28-4C2A-AAB7-09DF517E2263}">
      <dgm:prSet phldrT="[Texto]"/>
      <dgm:spPr/>
      <dgm:t>
        <a:bodyPr/>
        <a:lstStyle/>
        <a:p>
          <a:pPr algn="ctr"/>
          <a:r>
            <a:rPr lang="es-CO"/>
            <a:t>B</a:t>
          </a:r>
        </a:p>
      </dgm:t>
    </dgm:pt>
    <dgm:pt modelId="{B74B86C9-CC24-47F2-AD15-823DB1FBA508}" type="parTrans" cxnId="{7F3E03C3-238A-403F-8C7A-3481894CFBCE}">
      <dgm:prSet/>
      <dgm:spPr/>
      <dgm:t>
        <a:bodyPr/>
        <a:lstStyle/>
        <a:p>
          <a:pPr algn="ctr"/>
          <a:endParaRPr lang="es-CO"/>
        </a:p>
      </dgm:t>
    </dgm:pt>
    <dgm:pt modelId="{8C6868C9-3924-4D7A-A694-0D8AF0F307F6}" type="sibTrans" cxnId="{7F3E03C3-238A-403F-8C7A-3481894CFBCE}">
      <dgm:prSet/>
      <dgm:spPr/>
      <dgm:t>
        <a:bodyPr/>
        <a:lstStyle/>
        <a:p>
          <a:pPr algn="ctr"/>
          <a:endParaRPr lang="es-CO"/>
        </a:p>
      </dgm:t>
    </dgm:pt>
    <dgm:pt modelId="{A94345ED-2DFE-4A65-843E-238A143CDA77}" type="pres">
      <dgm:prSet presAssocID="{0FF40016-0DC5-40D9-B78F-E6ECA1DA69A8}" presName="Name0" presStyleCnt="0">
        <dgm:presLayoutVars>
          <dgm:dir/>
          <dgm:resizeHandles val="exact"/>
        </dgm:presLayoutVars>
      </dgm:prSet>
      <dgm:spPr/>
    </dgm:pt>
    <dgm:pt modelId="{5E6EC47C-E280-4AF1-B01A-57747C625555}" type="pres">
      <dgm:prSet presAssocID="{0FF40016-0DC5-40D9-B78F-E6ECA1DA69A8}" presName="vNodes" presStyleCnt="0"/>
      <dgm:spPr/>
    </dgm:pt>
    <dgm:pt modelId="{78964B00-2303-46E8-9377-793D8E8A9E5B}" type="pres">
      <dgm:prSet presAssocID="{1846FE09-4696-45A9-92ED-20DC876ECD12}" presName="node" presStyleLbl="node1" presStyleIdx="0" presStyleCnt="2">
        <dgm:presLayoutVars>
          <dgm:bulletEnabled val="1"/>
        </dgm:presLayoutVars>
      </dgm:prSet>
      <dgm:spPr/>
    </dgm:pt>
    <dgm:pt modelId="{CFD75FAF-2A2E-4640-A242-532B68517909}" type="pres">
      <dgm:prSet presAssocID="{0FF40016-0DC5-40D9-B78F-E6ECA1DA69A8}" presName="sibTransLast" presStyleLbl="sibTrans2D1" presStyleIdx="0" presStyleCnt="1"/>
      <dgm:spPr/>
    </dgm:pt>
    <dgm:pt modelId="{FCD4E849-43A2-4B6F-A51B-494BCB6EB1F0}" type="pres">
      <dgm:prSet presAssocID="{0FF40016-0DC5-40D9-B78F-E6ECA1DA69A8}" presName="connectorText" presStyleLbl="sibTrans2D1" presStyleIdx="0" presStyleCnt="1"/>
      <dgm:spPr/>
    </dgm:pt>
    <dgm:pt modelId="{4A8E423B-99FA-47CE-B4A0-18F958620380}" type="pres">
      <dgm:prSet presAssocID="{0FF40016-0DC5-40D9-B78F-E6ECA1DA69A8}" presName="lastNode" presStyleLbl="node1" presStyleIdx="1" presStyleCnt="2" custScaleX="56511" custScaleY="56481">
        <dgm:presLayoutVars>
          <dgm:bulletEnabled val="1"/>
        </dgm:presLayoutVars>
      </dgm:prSet>
      <dgm:spPr/>
    </dgm:pt>
  </dgm:ptLst>
  <dgm:cxnLst>
    <dgm:cxn modelId="{B7026045-17E9-4EB0-8F63-6137000C1243}" type="presOf" srcId="{731914CC-6AF3-494D-AE94-5C633CF93AEB}" destId="{FCD4E849-43A2-4B6F-A51B-494BCB6EB1F0}" srcOrd="1" destOrd="0" presId="urn:microsoft.com/office/officeart/2005/8/layout/equation2"/>
    <dgm:cxn modelId="{29E2414E-5334-4CF9-8056-7A05EFF675B5}" type="presOf" srcId="{0FF40016-0DC5-40D9-B78F-E6ECA1DA69A8}" destId="{A94345ED-2DFE-4A65-843E-238A143CDA77}" srcOrd="0" destOrd="0" presId="urn:microsoft.com/office/officeart/2005/8/layout/equation2"/>
    <dgm:cxn modelId="{28D490AE-07E2-41CD-BB15-827CAE0CF3EA}" srcId="{0FF40016-0DC5-40D9-B78F-E6ECA1DA69A8}" destId="{1846FE09-4696-45A9-92ED-20DC876ECD12}" srcOrd="0" destOrd="0" parTransId="{57A79244-E06E-49C1-B9DB-5670263A111F}" sibTransId="{731914CC-6AF3-494D-AE94-5C633CF93AEB}"/>
    <dgm:cxn modelId="{4EB24FB6-AB74-4C4A-866D-6A3F3D7CE260}" type="presOf" srcId="{377410C4-1A28-4C2A-AAB7-09DF517E2263}" destId="{4A8E423B-99FA-47CE-B4A0-18F958620380}" srcOrd="0" destOrd="0" presId="urn:microsoft.com/office/officeart/2005/8/layout/equation2"/>
    <dgm:cxn modelId="{7F3E03C3-238A-403F-8C7A-3481894CFBCE}" srcId="{0FF40016-0DC5-40D9-B78F-E6ECA1DA69A8}" destId="{377410C4-1A28-4C2A-AAB7-09DF517E2263}" srcOrd="1" destOrd="0" parTransId="{B74B86C9-CC24-47F2-AD15-823DB1FBA508}" sibTransId="{8C6868C9-3924-4D7A-A694-0D8AF0F307F6}"/>
    <dgm:cxn modelId="{60E01DD2-5AC9-4CEE-8F3E-28F2528663B6}" type="presOf" srcId="{731914CC-6AF3-494D-AE94-5C633CF93AEB}" destId="{CFD75FAF-2A2E-4640-A242-532B68517909}" srcOrd="0" destOrd="0" presId="urn:microsoft.com/office/officeart/2005/8/layout/equation2"/>
    <dgm:cxn modelId="{31B730FD-5EA9-499B-8E11-D182F6E7E6E6}" type="presOf" srcId="{1846FE09-4696-45A9-92ED-20DC876ECD12}" destId="{78964B00-2303-46E8-9377-793D8E8A9E5B}" srcOrd="0" destOrd="0" presId="urn:microsoft.com/office/officeart/2005/8/layout/equation2"/>
    <dgm:cxn modelId="{C480829C-77CF-416D-9526-83407D4D124E}" type="presParOf" srcId="{A94345ED-2DFE-4A65-843E-238A143CDA77}" destId="{5E6EC47C-E280-4AF1-B01A-57747C625555}" srcOrd="0" destOrd="0" presId="urn:microsoft.com/office/officeart/2005/8/layout/equation2"/>
    <dgm:cxn modelId="{67724914-A5DD-4B84-8209-C412479F1D1A}" type="presParOf" srcId="{5E6EC47C-E280-4AF1-B01A-57747C625555}" destId="{78964B00-2303-46E8-9377-793D8E8A9E5B}" srcOrd="0" destOrd="0" presId="urn:microsoft.com/office/officeart/2005/8/layout/equation2"/>
    <dgm:cxn modelId="{1B4D5DFD-928D-423B-8E0B-F3953C4A02A6}" type="presParOf" srcId="{A94345ED-2DFE-4A65-843E-238A143CDA77}" destId="{CFD75FAF-2A2E-4640-A242-532B68517909}" srcOrd="1" destOrd="0" presId="urn:microsoft.com/office/officeart/2005/8/layout/equation2"/>
    <dgm:cxn modelId="{5A701A79-8562-4D26-A2DF-755BA911EC27}" type="presParOf" srcId="{CFD75FAF-2A2E-4640-A242-532B68517909}" destId="{FCD4E849-43A2-4B6F-A51B-494BCB6EB1F0}" srcOrd="0" destOrd="0" presId="urn:microsoft.com/office/officeart/2005/8/layout/equation2"/>
    <dgm:cxn modelId="{FD376EA9-F19B-49EF-94B4-1AB043DED616}" type="presParOf" srcId="{A94345ED-2DFE-4A65-843E-238A143CDA77}" destId="{4A8E423B-99FA-47CE-B4A0-18F958620380}" srcOrd="2" destOrd="0" presId="urn:microsoft.com/office/officeart/2005/8/layout/equati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964B00-2303-46E8-9377-793D8E8A9E5B}">
      <dsp:nvSpPr>
        <dsp:cNvPr id="0" name=""/>
        <dsp:cNvSpPr/>
      </dsp:nvSpPr>
      <dsp:spPr>
        <a:xfrm>
          <a:off x="1207109" y="925"/>
          <a:ext cx="1477020" cy="147702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r>
            <a:rPr lang="es-CO" sz="3500" kern="1200"/>
            <a:t>A</a:t>
          </a:r>
        </a:p>
      </dsp:txBody>
      <dsp:txXfrm>
        <a:off x="1423414" y="217230"/>
        <a:ext cx="1044410" cy="1044410"/>
      </dsp:txXfrm>
    </dsp:sp>
    <dsp:sp modelId="{CFD75FAF-2A2E-4640-A242-532B68517909}">
      <dsp:nvSpPr>
        <dsp:cNvPr id="0" name=""/>
        <dsp:cNvSpPr/>
      </dsp:nvSpPr>
      <dsp:spPr>
        <a:xfrm>
          <a:off x="2905682" y="464710"/>
          <a:ext cx="469692" cy="54945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s-CO" sz="2300" kern="1200"/>
        </a:p>
      </dsp:txBody>
      <dsp:txXfrm>
        <a:off x="2905682" y="574600"/>
        <a:ext cx="328784" cy="329671"/>
      </dsp:txXfrm>
    </dsp:sp>
    <dsp:sp modelId="{4A8E423B-99FA-47CE-B4A0-18F958620380}">
      <dsp:nvSpPr>
        <dsp:cNvPr id="0" name=""/>
        <dsp:cNvSpPr/>
      </dsp:nvSpPr>
      <dsp:spPr>
        <a:xfrm>
          <a:off x="3570341" y="322318"/>
          <a:ext cx="834679" cy="834235"/>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r>
            <a:rPr lang="es-CO" sz="3500" kern="1200"/>
            <a:t>B</a:t>
          </a:r>
        </a:p>
      </dsp:txBody>
      <dsp:txXfrm>
        <a:off x="3692577" y="444489"/>
        <a:ext cx="590207" cy="589893"/>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Microsoft Office User</cp:lastModifiedBy>
  <cp:revision>25</cp:revision>
  <dcterms:created xsi:type="dcterms:W3CDTF">2020-08-12T21:30:00Z</dcterms:created>
  <dcterms:modified xsi:type="dcterms:W3CDTF">2022-02-07T16:34:00Z</dcterms:modified>
</cp:coreProperties>
</file>