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FC27" w14:textId="77777777" w:rsidR="00773BE1" w:rsidRPr="00773BE1" w:rsidRDefault="00773BE1" w:rsidP="00773BE1">
      <w:pPr>
        <w:adjustRightInd w:val="0"/>
        <w:spacing w:after="0" w:line="240" w:lineRule="auto"/>
        <w:ind w:right="-113"/>
        <w:jc w:val="center"/>
        <w:rPr>
          <w:rFonts w:ascii="Arial" w:eastAsiaTheme="minorEastAsia" w:hAnsi="Arial" w:cs="Arial"/>
          <w:b/>
          <w:color w:val="385623" w:themeColor="accent6" w:themeShade="80"/>
        </w:rPr>
      </w:pPr>
      <w:r w:rsidRPr="00773BE1">
        <w:rPr>
          <w:rFonts w:ascii="Arial" w:eastAsiaTheme="minorEastAsia" w:hAnsi="Arial" w:cs="Arial"/>
          <w:b/>
          <w:color w:val="7030A0"/>
        </w:rPr>
        <w:t>Simetría par e impar</w:t>
      </w:r>
    </w:p>
    <w:p w14:paraId="455D3D2F" w14:textId="77777777"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p>
    <w:p w14:paraId="250105D3" w14:textId="77777777" w:rsidR="00773BE1" w:rsidRPr="00773BE1" w:rsidRDefault="00773BE1" w:rsidP="00773BE1">
      <w:pPr>
        <w:adjustRightInd w:val="0"/>
        <w:spacing w:after="0" w:line="240" w:lineRule="auto"/>
        <w:ind w:right="-113"/>
        <w:rPr>
          <w:rFonts w:ascii="Arial" w:eastAsiaTheme="minorEastAsia" w:hAnsi="Arial" w:cs="Arial"/>
          <w:b/>
          <w:color w:val="7030A0"/>
        </w:rPr>
      </w:pPr>
      <w:r w:rsidRPr="00773BE1">
        <w:rPr>
          <w:rFonts w:ascii="Arial" w:eastAsiaTheme="minorEastAsia" w:hAnsi="Arial" w:cs="Arial"/>
          <w:b/>
          <w:color w:val="7030A0"/>
        </w:rPr>
        <w:t>Función par</w:t>
      </w:r>
    </w:p>
    <w:p w14:paraId="334929A6" w14:textId="77777777"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p>
    <w:p w14:paraId="18CF8F69" w14:textId="2BA845F9"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r w:rsidRPr="00773BE1">
        <w:rPr>
          <w:rFonts w:ascii="Arial" w:eastAsiaTheme="minorEastAsia" w:hAnsi="Arial" w:cs="Arial"/>
          <w:color w:val="385623" w:themeColor="accent6" w:themeShade="80"/>
        </w:rPr>
        <w:t>Una función par se establece si la función a evaluar tiene si</w:t>
      </w:r>
      <w:bookmarkStart w:id="0" w:name="_GoBack"/>
      <w:bookmarkEnd w:id="0"/>
      <w:r w:rsidRPr="00773BE1">
        <w:rPr>
          <w:rFonts w:ascii="Arial" w:eastAsiaTheme="minorEastAsia" w:hAnsi="Arial" w:cs="Arial"/>
          <w:color w:val="385623" w:themeColor="accent6" w:themeShade="80"/>
        </w:rPr>
        <w:t xml:space="preserve">metría con respecto </w:t>
      </w:r>
      <w:r w:rsidR="00C07F27">
        <w:rPr>
          <w:rFonts w:ascii="Arial" w:eastAsiaTheme="minorEastAsia" w:hAnsi="Arial" w:cs="Arial"/>
          <w:color w:val="385623" w:themeColor="accent6" w:themeShade="80"/>
        </w:rPr>
        <w:t>del</w:t>
      </w:r>
      <w:r w:rsidRPr="00773BE1">
        <w:rPr>
          <w:rFonts w:ascii="Arial" w:eastAsiaTheme="minorEastAsia" w:hAnsi="Arial" w:cs="Arial"/>
          <w:color w:val="385623" w:themeColor="accent6" w:themeShade="80"/>
        </w:rPr>
        <w:t xml:space="preserve"> eje vertical, es decir:</w:t>
      </w:r>
      <w:r w:rsidR="006C647A" w:rsidRPr="00473172">
        <w:rPr>
          <w:rFonts w:ascii="Arial" w:eastAsiaTheme="minorEastAsia" w:hAnsi="Arial" w:cs="Arial"/>
          <w:color w:val="385623" w:themeColor="accent6" w:themeShade="80"/>
          <w:position w:val="-10"/>
        </w:rPr>
        <w:object w:dxaOrig="700" w:dyaOrig="320" w14:anchorId="0300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6pt;height:15.7pt" o:ole="">
            <v:imagedata r:id="rId4" o:title=""/>
          </v:shape>
          <o:OLEObject Type="Embed" ProgID="Equation.DSMT4" ShapeID="_x0000_i1027" DrawAspect="Content" ObjectID="_1595403914" r:id="rId5"/>
        </w:object>
      </w:r>
      <w:r w:rsidR="00473172">
        <w:rPr>
          <w:rFonts w:ascii="Arial" w:eastAsiaTheme="minorEastAsia" w:hAnsi="Arial" w:cs="Arial"/>
          <w:color w:val="385623" w:themeColor="accent6" w:themeShade="80"/>
        </w:rPr>
        <w:t xml:space="preserve"> </w:t>
      </w:r>
    </w:p>
    <w:p w14:paraId="6DBD7B45" w14:textId="77777777" w:rsidR="00773BE1" w:rsidRPr="00773BE1" w:rsidRDefault="00773BE1" w:rsidP="00773BE1">
      <w:pPr>
        <w:adjustRightInd w:val="0"/>
        <w:spacing w:after="0" w:line="240" w:lineRule="auto"/>
        <w:ind w:right="-113"/>
        <w:rPr>
          <w:rFonts w:ascii="Arial" w:eastAsiaTheme="minorEastAsia" w:hAnsi="Arial" w:cs="Arial"/>
          <w:color w:val="385623" w:themeColor="accent6" w:themeShade="80"/>
        </w:rPr>
      </w:pPr>
    </w:p>
    <w:p w14:paraId="192EF4E3"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m:oMathPara>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=f(-t)</m:t>
          </m:r>
        </m:oMath>
      </m:oMathPara>
    </w:p>
    <w:p w14:paraId="397574D1"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p>
    <w:p w14:paraId="6A0F5349"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Por ejemplo, una de las funciones que cumple con esta condición es la función cuadrática, la cual evaluada en un valor de </w:t>
      </w:r>
      <m:oMath>
        <m:r>
          <w:rPr>
            <w:rFonts w:ascii="Cambria Math" w:eastAsiaTheme="minorEastAsia" w:hAnsi="Cambria Math" w:cs="Arial"/>
            <w:color w:val="385623" w:themeColor="accent6" w:themeShade="80"/>
          </w:rPr>
          <m:t>t</m:t>
        </m:r>
      </m:oMath>
      <w:r w:rsidRPr="00862A8E">
        <w:rPr>
          <w:rFonts w:ascii="Arial" w:eastAsiaTheme="minorEastAsia" w:hAnsi="Arial" w:cs="Arial"/>
          <w:color w:val="385623" w:themeColor="accent6" w:themeShade="80"/>
        </w:rPr>
        <w:t xml:space="preserve"> positivo es igual a su valor representado en el eje negativo.</w:t>
      </w:r>
    </w:p>
    <w:p w14:paraId="68FAFDCB"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p>
    <w:p w14:paraId="7FE7529F" w14:textId="1303B60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La figura 1 muestra la función cuadrática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 xml:space="preserve">= </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t</m:t>
            </m:r>
          </m:e>
          <m:sup>
            <m:r>
              <w:rPr>
                <w:rFonts w:ascii="Cambria Math" w:eastAsiaTheme="minorEastAsia" w:hAnsi="Cambria Math" w:cs="Arial"/>
                <w:color w:val="385623" w:themeColor="accent6" w:themeShade="80"/>
              </w:rPr>
              <m:t>2</m:t>
            </m:r>
          </m:sup>
        </m:sSup>
      </m:oMath>
      <w:r w:rsidRPr="00862A8E">
        <w:rPr>
          <w:rFonts w:ascii="Arial" w:eastAsiaTheme="minorEastAsia" w:hAnsi="Arial" w:cs="Arial"/>
          <w:color w:val="385623" w:themeColor="accent6" w:themeShade="80"/>
        </w:rPr>
        <w:t xml:space="preserve">. Si </w:t>
      </w:r>
      <m:oMath>
        <m:r>
          <w:rPr>
            <w:rFonts w:ascii="Cambria Math" w:eastAsiaTheme="minorEastAsia" w:hAnsi="Cambria Math" w:cs="Arial"/>
            <w:color w:val="385623" w:themeColor="accent6" w:themeShade="80"/>
          </w:rPr>
          <m:t>t</m:t>
        </m:r>
      </m:oMath>
      <w:r w:rsidRPr="00862A8E">
        <w:rPr>
          <w:rFonts w:ascii="Arial" w:eastAsiaTheme="minorEastAsia" w:hAnsi="Arial" w:cs="Arial"/>
          <w:color w:val="385623" w:themeColor="accent6" w:themeShade="80"/>
        </w:rPr>
        <w:t xml:space="preserve"> toma el valor de 2 su valor evaluado dentro de la función será 4 y si toma el valor de -2 el resultado será el mismo, lo cual significa que por medio de este criterio se puede establecer que la función es simétrica. Explicado de manera gráfica, se tiene:</w:t>
      </w:r>
    </w:p>
    <w:p w14:paraId="6859A3F5"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p>
    <w:p w14:paraId="51F3D421"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Si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t</m:t>
            </m:r>
          </m:e>
          <m:sup>
            <m:r>
              <w:rPr>
                <w:rFonts w:ascii="Cambria Math" w:eastAsiaTheme="minorEastAsia" w:hAnsi="Cambria Math" w:cs="Arial"/>
                <w:color w:val="385623" w:themeColor="accent6" w:themeShade="80"/>
              </w:rPr>
              <m:t>2</m:t>
            </m:r>
          </m:sup>
        </m:sSup>
      </m:oMath>
      <w:r w:rsidRPr="00862A8E">
        <w:rPr>
          <w:rFonts w:ascii="Arial" w:eastAsiaTheme="minorEastAsia" w:hAnsi="Arial" w:cs="Arial"/>
          <w:color w:val="385623" w:themeColor="accent6" w:themeShade="80"/>
        </w:rPr>
        <w:t xml:space="preserve"> cuando </w:t>
      </w:r>
      <m:oMath>
        <m:r>
          <w:rPr>
            <w:rFonts w:ascii="Cambria Math" w:eastAsiaTheme="minorEastAsia" w:hAnsi="Cambria Math" w:cs="Arial"/>
            <w:color w:val="385623" w:themeColor="accent6" w:themeShade="80"/>
          </w:rPr>
          <m:t>t=2</m:t>
        </m:r>
      </m:oMath>
      <w:r w:rsidRPr="00862A8E">
        <w:rPr>
          <w:rFonts w:ascii="Arial" w:eastAsiaTheme="minorEastAsia" w:hAnsi="Arial" w:cs="Arial"/>
          <w:color w:val="385623" w:themeColor="accent6" w:themeShade="80"/>
        </w:rPr>
        <w:t xml:space="preserve">, entonces: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2</m:t>
            </m:r>
          </m:e>
        </m:d>
        <m:r>
          <w:rPr>
            <w:rFonts w:ascii="Cambria Math" w:eastAsiaTheme="minorEastAsia" w:hAnsi="Cambria Math" w:cs="Arial"/>
            <w:color w:val="385623" w:themeColor="accent6" w:themeShade="80"/>
          </w:rPr>
          <m:t xml:space="preserve">= </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(2)</m:t>
            </m:r>
          </m:e>
          <m:sup>
            <m:r>
              <w:rPr>
                <w:rFonts w:ascii="Cambria Math" w:eastAsiaTheme="minorEastAsia" w:hAnsi="Cambria Math" w:cs="Arial"/>
                <w:color w:val="385623" w:themeColor="accent6" w:themeShade="80"/>
              </w:rPr>
              <m:t>2</m:t>
            </m:r>
          </m:sup>
        </m:sSup>
        <m:r>
          <w:rPr>
            <w:rFonts w:ascii="Cambria Math" w:eastAsiaTheme="minorEastAsia" w:hAnsi="Cambria Math" w:cs="Arial"/>
            <w:color w:val="385623" w:themeColor="accent6" w:themeShade="80"/>
          </w:rPr>
          <m:t>=4</m:t>
        </m:r>
      </m:oMath>
      <w:r w:rsidRPr="00862A8E">
        <w:rPr>
          <w:rFonts w:ascii="Arial" w:eastAsiaTheme="minorEastAsia" w:hAnsi="Arial" w:cs="Arial"/>
          <w:color w:val="385623" w:themeColor="accent6" w:themeShade="80"/>
        </w:rPr>
        <w:t>.</w:t>
      </w:r>
    </w:p>
    <w:p w14:paraId="121DE5EF" w14:textId="77777777" w:rsidR="00773BE1" w:rsidRPr="00862A8E" w:rsidRDefault="00773BE1" w:rsidP="00773BE1">
      <w:pPr>
        <w:adjustRightInd w:val="0"/>
        <w:spacing w:after="0" w:line="240" w:lineRule="auto"/>
        <w:ind w:right="-113"/>
        <w:rPr>
          <w:rFonts w:ascii="Arial" w:eastAsiaTheme="minorEastAsia" w:hAnsi="Arial" w:cs="Arial"/>
          <w:color w:val="385623" w:themeColor="accent6" w:themeShade="80"/>
        </w:rPr>
      </w:pPr>
      <w:r w:rsidRPr="00862A8E">
        <w:rPr>
          <w:rFonts w:ascii="Arial" w:eastAsiaTheme="minorEastAsia" w:hAnsi="Arial" w:cs="Arial"/>
          <w:color w:val="385623" w:themeColor="accent6" w:themeShade="80"/>
        </w:rPr>
        <w:t xml:space="preserve">Si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t</m:t>
            </m:r>
          </m:e>
          <m:sup>
            <m:r>
              <w:rPr>
                <w:rFonts w:ascii="Cambria Math" w:eastAsiaTheme="minorEastAsia" w:hAnsi="Cambria Math" w:cs="Arial"/>
                <w:color w:val="385623" w:themeColor="accent6" w:themeShade="80"/>
              </w:rPr>
              <m:t>2</m:t>
            </m:r>
          </m:sup>
        </m:sSup>
      </m:oMath>
      <w:r w:rsidRPr="00862A8E">
        <w:rPr>
          <w:rFonts w:ascii="Arial" w:eastAsiaTheme="minorEastAsia" w:hAnsi="Arial" w:cs="Arial"/>
          <w:color w:val="385623" w:themeColor="accent6" w:themeShade="80"/>
        </w:rPr>
        <w:t xml:space="preserve"> cuando </w:t>
      </w:r>
      <m:oMath>
        <m:r>
          <w:rPr>
            <w:rFonts w:ascii="Cambria Math" w:eastAsiaTheme="minorEastAsia" w:hAnsi="Cambria Math" w:cs="Arial"/>
            <w:color w:val="385623" w:themeColor="accent6" w:themeShade="80"/>
          </w:rPr>
          <m:t>t=-2</m:t>
        </m:r>
      </m:oMath>
      <w:r w:rsidRPr="00862A8E">
        <w:rPr>
          <w:rFonts w:ascii="Arial" w:eastAsiaTheme="minorEastAsia" w:hAnsi="Arial" w:cs="Arial"/>
          <w:color w:val="385623" w:themeColor="accent6" w:themeShade="80"/>
        </w:rPr>
        <w:t xml:space="preserve">, entonces: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-2</m:t>
            </m:r>
          </m:e>
        </m:d>
        <m:r>
          <w:rPr>
            <w:rFonts w:ascii="Cambria Math" w:eastAsiaTheme="minorEastAsia" w:hAnsi="Cambria Math" w:cs="Arial"/>
            <w:color w:val="385623" w:themeColor="accent6" w:themeShade="80"/>
          </w:rPr>
          <m:t xml:space="preserve">= </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(-2)</m:t>
            </m:r>
          </m:e>
          <m:sup>
            <m:r>
              <w:rPr>
                <w:rFonts w:ascii="Cambria Math" w:eastAsiaTheme="minorEastAsia" w:hAnsi="Cambria Math" w:cs="Arial"/>
                <w:color w:val="385623" w:themeColor="accent6" w:themeShade="80"/>
              </w:rPr>
              <m:t>2</m:t>
            </m:r>
          </m:sup>
        </m:sSup>
        <m:r>
          <w:rPr>
            <w:rFonts w:ascii="Cambria Math" w:eastAsiaTheme="minorEastAsia" w:hAnsi="Cambria Math" w:cs="Arial"/>
            <w:color w:val="385623" w:themeColor="accent6" w:themeShade="80"/>
          </w:rPr>
          <m:t>=4</m:t>
        </m:r>
      </m:oMath>
      <w:r w:rsidRPr="00862A8E">
        <w:rPr>
          <w:rFonts w:ascii="Arial" w:eastAsiaTheme="minorEastAsia" w:hAnsi="Arial" w:cs="Arial"/>
          <w:color w:val="385623" w:themeColor="accent6" w:themeShade="80"/>
        </w:rPr>
        <w:t>.</w:t>
      </w:r>
    </w:p>
    <w:p w14:paraId="200AC38A" w14:textId="77777777" w:rsidR="00773BE1" w:rsidRPr="008652D7" w:rsidRDefault="00773BE1" w:rsidP="00773BE1">
      <w:pPr>
        <w:adjustRightInd w:val="0"/>
        <w:spacing w:after="0" w:line="240" w:lineRule="auto"/>
        <w:ind w:right="-113"/>
        <w:rPr>
          <w:rFonts w:ascii="Arial" w:eastAsiaTheme="minorEastAsia" w:hAnsi="Arial" w:cs="Arial"/>
          <w:color w:val="385623" w:themeColor="accent6" w:themeShade="80"/>
        </w:rPr>
      </w:pPr>
    </w:p>
    <w:p w14:paraId="57FC4412" w14:textId="77777777" w:rsidR="00773BE1" w:rsidRPr="008652D7" w:rsidRDefault="00773BE1" w:rsidP="00773BE1">
      <w:pPr>
        <w:adjustRightInd w:val="0"/>
        <w:spacing w:after="0" w:line="240" w:lineRule="auto"/>
        <w:ind w:right="-113"/>
        <w:jc w:val="center"/>
        <w:rPr>
          <w:rFonts w:ascii="Arial" w:eastAsiaTheme="minorEastAsia" w:hAnsi="Arial" w:cs="Arial"/>
          <w:color w:val="385623" w:themeColor="accent6" w:themeShade="80"/>
        </w:rPr>
      </w:pPr>
      <w:r w:rsidRPr="008652D7">
        <w:rPr>
          <w:rFonts w:ascii="Arial" w:eastAsiaTheme="minorEastAsia" w:hAnsi="Arial" w:cs="Arial"/>
          <w:color w:val="385623" w:themeColor="accent6" w:themeShade="80"/>
        </w:rPr>
        <w:t>.</w:t>
      </w:r>
      <w:r w:rsidRPr="008652D7">
        <w:rPr>
          <w:rFonts w:ascii="Arial" w:eastAsiaTheme="minorEastAsia" w:hAnsi="Arial" w:cs="Arial"/>
          <w:b/>
          <w:noProof/>
          <w:color w:val="385623" w:themeColor="accent6" w:themeShade="80"/>
          <w:lang w:eastAsia="es-ES"/>
        </w:rPr>
        <w:drawing>
          <wp:inline distT="0" distB="0" distL="0" distR="0" wp14:anchorId="2602C1CD" wp14:editId="52D1A6D8">
            <wp:extent cx="1899285" cy="2007235"/>
            <wp:effectExtent l="25400" t="25400" r="31115" b="2476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561" t="299" r="88"/>
                    <a:stretch/>
                  </pic:blipFill>
                  <pic:spPr bwMode="auto">
                    <a:xfrm>
                      <a:off x="0" y="0"/>
                      <a:ext cx="1899285" cy="2007235"/>
                    </a:xfrm>
                    <a:prstGeom prst="rect">
                      <a:avLst/>
                    </a:prstGeom>
                    <a:noFill/>
                    <a:ln>
                      <a:solidFill>
                        <a:schemeClr val="tx1"/>
                      </a:solid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Pr="008652D7">
        <w:rPr>
          <w:rFonts w:ascii="Arial" w:eastAsiaTheme="minorEastAsia" w:hAnsi="Arial" w:cs="Arial"/>
          <w:color w:val="385623" w:themeColor="accent6" w:themeShade="80"/>
        </w:rPr>
        <w:t>.</w:t>
      </w:r>
    </w:p>
    <w:p w14:paraId="512174A1" w14:textId="77777777" w:rsidR="00773BE1" w:rsidRPr="00A86AFB" w:rsidRDefault="00773BE1" w:rsidP="00A86AFB">
      <w:pPr>
        <w:adjustRightInd w:val="0"/>
        <w:spacing w:after="0" w:line="240" w:lineRule="auto"/>
        <w:ind w:right="-113"/>
        <w:jc w:val="center"/>
        <w:rPr>
          <w:rFonts w:ascii="Arial" w:eastAsiaTheme="minorEastAsia" w:hAnsi="Arial" w:cs="Arial"/>
          <w:color w:val="385623" w:themeColor="accent6" w:themeShade="80"/>
          <w:sz w:val="18"/>
          <w:szCs w:val="18"/>
        </w:rPr>
      </w:pPr>
      <w:r w:rsidRPr="00A86AFB">
        <w:rPr>
          <w:rFonts w:ascii="Arial" w:hAnsi="Arial" w:cs="Arial"/>
          <w:color w:val="385623" w:themeColor="accent6" w:themeShade="80"/>
          <w:sz w:val="18"/>
          <w:szCs w:val="18"/>
        </w:rPr>
        <w:t>Figura 1. Función cuadrática simétrica. Esta figura muestra los puntos en donde se evalúa la función cuadrática y destaca el punto de simetría sobre el punto igual a 4.</w:t>
      </w:r>
    </w:p>
    <w:p w14:paraId="0B8425AC" w14:textId="77777777" w:rsidR="00773BE1" w:rsidRPr="008652D7" w:rsidRDefault="00773BE1" w:rsidP="00773BE1">
      <w:pPr>
        <w:pStyle w:val="Prrafodelista"/>
        <w:adjustRightInd w:val="0"/>
        <w:spacing w:after="0" w:line="240" w:lineRule="auto"/>
        <w:ind w:left="0" w:right="-113"/>
        <w:rPr>
          <w:rFonts w:ascii="Arial" w:eastAsiaTheme="majorEastAsia" w:hAnsi="Arial" w:cs="Arial"/>
          <w:bCs/>
          <w:color w:val="385623" w:themeColor="accent6" w:themeShade="80"/>
          <w:lang w:eastAsia="es-CO"/>
        </w:rPr>
      </w:pPr>
    </w:p>
    <w:p w14:paraId="67A60183" w14:textId="77777777" w:rsidR="00773BE1" w:rsidRPr="00773BE1" w:rsidRDefault="00773BE1" w:rsidP="00773BE1">
      <w:pPr>
        <w:pStyle w:val="Prrafodelista"/>
        <w:adjustRightInd w:val="0"/>
        <w:spacing w:after="0" w:line="240" w:lineRule="auto"/>
        <w:ind w:left="0" w:right="-113"/>
        <w:rPr>
          <w:rFonts w:ascii="Arial" w:eastAsiaTheme="majorEastAsia" w:hAnsi="Arial" w:cs="Arial"/>
          <w:b/>
          <w:bCs/>
          <w:color w:val="7030A0"/>
          <w:lang w:eastAsia="es-CO"/>
        </w:rPr>
      </w:pPr>
      <w:r w:rsidRPr="00773BE1">
        <w:rPr>
          <w:rFonts w:ascii="Arial" w:eastAsiaTheme="majorEastAsia" w:hAnsi="Arial" w:cs="Arial"/>
          <w:b/>
          <w:bCs/>
          <w:color w:val="7030A0"/>
          <w:lang w:eastAsia="es-CO"/>
        </w:rPr>
        <w:t>Función impar</w:t>
      </w:r>
    </w:p>
    <w:p w14:paraId="6694EA1C" w14:textId="77777777" w:rsidR="00773BE1" w:rsidRPr="00E35010" w:rsidRDefault="00773BE1" w:rsidP="00773BE1">
      <w:pPr>
        <w:pStyle w:val="Prrafodelista"/>
        <w:adjustRightInd w:val="0"/>
        <w:spacing w:after="0" w:line="240" w:lineRule="auto"/>
        <w:ind w:left="0" w:right="-113"/>
        <w:rPr>
          <w:rFonts w:ascii="Arial" w:eastAsiaTheme="majorEastAsia" w:hAnsi="Arial" w:cs="Arial"/>
          <w:bCs/>
          <w:color w:val="385623" w:themeColor="accent6" w:themeShade="80"/>
          <w:lang w:eastAsia="es-CO"/>
        </w:rPr>
      </w:pPr>
    </w:p>
    <w:p w14:paraId="79E6271C" w14:textId="3B08D11F" w:rsidR="00773BE1" w:rsidRPr="00E35010" w:rsidRDefault="00773BE1" w:rsidP="00773BE1">
      <w:pPr>
        <w:adjustRightInd w:val="0"/>
        <w:spacing w:after="0" w:line="240" w:lineRule="auto"/>
        <w:ind w:right="-113"/>
        <w:rPr>
          <w:rFonts w:ascii="Arial" w:eastAsiaTheme="minorEastAsia" w:hAnsi="Arial" w:cs="Arial"/>
          <w:color w:val="385623" w:themeColor="accent6" w:themeShade="80"/>
        </w:rPr>
      </w:pPr>
      <w:r w:rsidRPr="00E35010">
        <w:rPr>
          <w:rFonts w:ascii="Arial" w:eastAsiaTheme="minorEastAsia" w:hAnsi="Arial" w:cs="Arial"/>
          <w:color w:val="385623" w:themeColor="accent6" w:themeShade="80"/>
        </w:rPr>
        <w:t xml:space="preserve">Una función es impar si define una asimetría con respecto </w:t>
      </w:r>
      <w:r w:rsidR="00284A02">
        <w:rPr>
          <w:rFonts w:ascii="Arial" w:eastAsiaTheme="minorEastAsia" w:hAnsi="Arial" w:cs="Arial"/>
          <w:color w:val="385623" w:themeColor="accent6" w:themeShade="80"/>
        </w:rPr>
        <w:t>del</w:t>
      </w:r>
      <w:r w:rsidRPr="00E35010">
        <w:rPr>
          <w:rFonts w:ascii="Arial" w:eastAsiaTheme="minorEastAsia" w:hAnsi="Arial" w:cs="Arial"/>
          <w:color w:val="385623" w:themeColor="accent6" w:themeShade="80"/>
        </w:rPr>
        <w:t xml:space="preserve"> eje vertical, es decir:</w:t>
      </w:r>
    </w:p>
    <w:p w14:paraId="0D774F71" w14:textId="77777777" w:rsidR="00773BE1" w:rsidRPr="00E35010" w:rsidRDefault="00773BE1" w:rsidP="00773BE1">
      <w:pPr>
        <w:pStyle w:val="Prrafodelista"/>
        <w:adjustRightInd w:val="0"/>
        <w:spacing w:after="0" w:line="240" w:lineRule="auto"/>
        <w:ind w:left="0" w:right="-113"/>
        <w:rPr>
          <w:rFonts w:ascii="Arial" w:eastAsiaTheme="minorEastAsia" w:hAnsi="Arial" w:cs="Arial"/>
          <w:color w:val="385623" w:themeColor="accent6" w:themeShade="80"/>
        </w:rPr>
      </w:pPr>
    </w:p>
    <w:p w14:paraId="352F55AD" w14:textId="77777777" w:rsidR="00773BE1" w:rsidRPr="00E35010" w:rsidRDefault="00773BE1" w:rsidP="00773BE1">
      <w:pPr>
        <w:adjustRightInd w:val="0"/>
        <w:spacing w:after="0" w:line="240" w:lineRule="auto"/>
        <w:ind w:right="-113"/>
        <w:rPr>
          <w:rFonts w:ascii="Arial" w:eastAsiaTheme="majorEastAsia" w:hAnsi="Arial" w:cs="Arial"/>
          <w:noProof/>
          <w:color w:val="385623" w:themeColor="accent6" w:themeShade="80"/>
        </w:rPr>
      </w:pPr>
      <m:oMathPara>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=-f(t)</m:t>
          </m:r>
        </m:oMath>
      </m:oMathPara>
    </w:p>
    <w:p w14:paraId="73F6AD74" w14:textId="77777777" w:rsidR="00773BE1" w:rsidRPr="00E35010" w:rsidRDefault="00773BE1" w:rsidP="00773BE1">
      <w:pPr>
        <w:adjustRightInd w:val="0"/>
        <w:spacing w:after="0" w:line="240" w:lineRule="auto"/>
        <w:ind w:right="-113"/>
        <w:rPr>
          <w:rFonts w:ascii="Arial" w:eastAsiaTheme="minorEastAsia" w:hAnsi="Arial" w:cs="Arial"/>
          <w:color w:val="385623" w:themeColor="accent6" w:themeShade="80"/>
        </w:rPr>
      </w:pPr>
    </w:p>
    <w:p w14:paraId="596932A6" w14:textId="25A17273"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r w:rsidRPr="00E35010">
        <w:rPr>
          <w:rFonts w:ascii="Arial" w:eastAsiaTheme="minorEastAsia" w:hAnsi="Arial" w:cs="Arial"/>
          <w:color w:val="385623" w:themeColor="accent6" w:themeShade="80"/>
        </w:rPr>
        <w:t>Por ejemplo, una de las funciones que cumple con</w:t>
      </w:r>
      <w:r w:rsidR="001F0BBD">
        <w:rPr>
          <w:rFonts w:ascii="Arial" w:eastAsiaTheme="minorEastAsia" w:hAnsi="Arial" w:cs="Arial"/>
          <w:color w:val="385623" w:themeColor="accent6" w:themeShade="80"/>
        </w:rPr>
        <w:t xml:space="preserve"> esta condición es la función cú</w:t>
      </w:r>
      <w:r w:rsidRPr="00E35010">
        <w:rPr>
          <w:rFonts w:ascii="Arial" w:eastAsiaTheme="minorEastAsia" w:hAnsi="Arial" w:cs="Arial"/>
          <w:color w:val="385623" w:themeColor="accent6" w:themeShade="80"/>
        </w:rPr>
        <w:t xml:space="preserve">bica, la cual evaluada a partir de este criterio cumple con la igualdad. La figura 2 muestra la función </w:t>
      </w:r>
      <w:r w:rsidRPr="004C7EA7">
        <w:rPr>
          <w:rFonts w:ascii="Arial" w:eastAsiaTheme="minorEastAsia" w:hAnsi="Arial" w:cs="Arial"/>
          <w:color w:val="385623" w:themeColor="accent6" w:themeShade="80"/>
        </w:rPr>
        <w:t>c</w:t>
      </w:r>
      <w:r w:rsidR="001F0BBD">
        <w:rPr>
          <w:rFonts w:ascii="Arial" w:eastAsiaTheme="minorEastAsia" w:hAnsi="Arial" w:cs="Arial"/>
          <w:color w:val="385623" w:themeColor="accent6" w:themeShade="80"/>
        </w:rPr>
        <w:t>ú</w:t>
      </w:r>
      <w:r w:rsidRPr="004C7EA7">
        <w:rPr>
          <w:rFonts w:ascii="Arial" w:eastAsiaTheme="minorEastAsia" w:hAnsi="Arial" w:cs="Arial"/>
          <w:color w:val="385623" w:themeColor="accent6" w:themeShade="80"/>
        </w:rPr>
        <w:t xml:space="preserve">bica y la relación asimétrica de acuerdo </w:t>
      </w:r>
      <w:r w:rsidR="00031235">
        <w:rPr>
          <w:rFonts w:ascii="Arial" w:eastAsiaTheme="minorEastAsia" w:hAnsi="Arial" w:cs="Arial"/>
          <w:color w:val="385623" w:themeColor="accent6" w:themeShade="80"/>
        </w:rPr>
        <w:t>con</w:t>
      </w:r>
      <w:r w:rsidRPr="004C7EA7">
        <w:rPr>
          <w:rFonts w:ascii="Arial" w:eastAsiaTheme="minorEastAsia" w:hAnsi="Arial" w:cs="Arial"/>
          <w:color w:val="385623" w:themeColor="accent6" w:themeShade="80"/>
        </w:rPr>
        <w:t xml:space="preserve"> su eje vertical, entonces por definición se tiene:</w:t>
      </w:r>
    </w:p>
    <w:p w14:paraId="33C8FFB8"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p>
    <w:p w14:paraId="41070186"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r w:rsidRPr="004C7EA7">
        <w:rPr>
          <w:rFonts w:ascii="Arial" w:eastAsiaTheme="minorEastAsia" w:hAnsi="Arial" w:cs="Arial"/>
          <w:color w:val="385623" w:themeColor="accent6" w:themeShade="80"/>
        </w:rPr>
        <w:t xml:space="preserve">Si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-t</m:t>
            </m:r>
          </m:e>
        </m:d>
        <m:r>
          <w:rPr>
            <w:rFonts w:ascii="Cambria Math" w:eastAsiaTheme="minorEastAsia" w:hAnsi="Cambria Math" w:cs="Arial"/>
            <w:color w:val="385623" w:themeColor="accent6" w:themeShade="80"/>
          </w:rPr>
          <m:t>=</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t</m:t>
            </m:r>
          </m:e>
          <m:sup>
            <m:r>
              <w:rPr>
                <w:rFonts w:ascii="Cambria Math" w:eastAsiaTheme="minorEastAsia" w:hAnsi="Cambria Math" w:cs="Arial"/>
                <w:color w:val="385623" w:themeColor="accent6" w:themeShade="80"/>
              </w:rPr>
              <m:t>3</m:t>
            </m:r>
          </m:sup>
        </m:sSup>
      </m:oMath>
      <w:r w:rsidRPr="004C7EA7">
        <w:rPr>
          <w:rFonts w:ascii="Arial" w:eastAsiaTheme="minorEastAsia" w:hAnsi="Arial" w:cs="Arial"/>
          <w:color w:val="385623" w:themeColor="accent6" w:themeShade="80"/>
        </w:rPr>
        <w:t xml:space="preserve"> cuando </w:t>
      </w:r>
      <m:oMath>
        <m:r>
          <w:rPr>
            <w:rFonts w:ascii="Cambria Math" w:eastAsiaTheme="minorEastAsia" w:hAnsi="Cambria Math" w:cs="Arial"/>
            <w:color w:val="385623" w:themeColor="accent6" w:themeShade="80"/>
          </w:rPr>
          <m:t>t=-2</m:t>
        </m:r>
      </m:oMath>
      <w:r w:rsidRPr="004C7EA7">
        <w:rPr>
          <w:rFonts w:ascii="Arial" w:eastAsiaTheme="minorEastAsia" w:hAnsi="Arial" w:cs="Arial"/>
          <w:color w:val="385623" w:themeColor="accent6" w:themeShade="80"/>
        </w:rPr>
        <w:t xml:space="preserve">, entonces: </w:t>
      </w:r>
      <m:oMath>
        <m:r>
          <w:rPr>
            <w:rFonts w:ascii="Cambria Math" w:eastAsiaTheme="minorEastAsia" w:hAnsi="Cambria Math" w:cs="Arial"/>
            <w:color w:val="385623" w:themeColor="accent6" w:themeShade="80"/>
          </w:rPr>
          <m:t>f</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-2</m:t>
            </m:r>
          </m:e>
        </m:d>
        <m:r>
          <w:rPr>
            <w:rFonts w:ascii="Cambria Math" w:eastAsiaTheme="minorEastAsia" w:hAnsi="Cambria Math" w:cs="Arial"/>
            <w:color w:val="385623" w:themeColor="accent6" w:themeShade="80"/>
          </w:rPr>
          <m:t>=</m:t>
        </m:r>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(-2)</m:t>
            </m:r>
          </m:e>
          <m:sup>
            <m:r>
              <w:rPr>
                <w:rFonts w:ascii="Cambria Math" w:eastAsiaTheme="minorEastAsia" w:hAnsi="Cambria Math" w:cs="Arial"/>
                <w:color w:val="385623" w:themeColor="accent6" w:themeShade="80"/>
              </w:rPr>
              <m:t>3</m:t>
            </m:r>
          </m:sup>
        </m:sSup>
        <m:r>
          <w:rPr>
            <w:rFonts w:ascii="Cambria Math" w:eastAsiaTheme="minorEastAsia" w:hAnsi="Cambria Math" w:cs="Arial"/>
            <w:color w:val="385623" w:themeColor="accent6" w:themeShade="80"/>
          </w:rPr>
          <m:t>=-8</m:t>
        </m:r>
      </m:oMath>
      <w:r w:rsidRPr="004C7EA7">
        <w:rPr>
          <w:rFonts w:ascii="Arial" w:eastAsiaTheme="minorEastAsia" w:hAnsi="Arial" w:cs="Arial"/>
          <w:color w:val="385623" w:themeColor="accent6" w:themeShade="80"/>
        </w:rPr>
        <w:t>.</w:t>
      </w:r>
    </w:p>
    <w:p w14:paraId="44D236B0"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r w:rsidRPr="004C7EA7">
        <w:rPr>
          <w:rFonts w:ascii="Arial" w:eastAsiaTheme="minorEastAsia" w:hAnsi="Arial" w:cs="Arial"/>
          <w:color w:val="385623" w:themeColor="accent6" w:themeShade="80"/>
        </w:rPr>
        <w:t xml:space="preserve">Si </w:t>
      </w:r>
      <m:oMath>
        <m:r>
          <m:rPr>
            <m:sty m:val="p"/>
          </m:rPr>
          <w:rPr>
            <w:rFonts w:ascii="Cambria Math" w:eastAsiaTheme="minorEastAsia" w:hAnsi="Cambria Math" w:cs="Arial"/>
            <w:color w:val="385623" w:themeColor="accent6" w:themeShade="80"/>
          </w:rPr>
          <m:t>-</m:t>
        </m:r>
        <m:r>
          <w:rPr>
            <w:rFonts w:ascii="Cambria Math" w:eastAsiaTheme="minorEastAsia" w:hAnsi="Cambria Math" w:cs="Arial"/>
            <w:color w:val="385623" w:themeColor="accent6" w:themeShade="80"/>
          </w:rPr>
          <m:t>f</m:t>
        </m:r>
        <m:d>
          <m:dPr>
            <m:ctrlPr>
              <w:rPr>
                <w:rFonts w:ascii="Cambria Math" w:eastAsiaTheme="minorEastAsia" w:hAnsi="Cambria Math" w:cs="Arial"/>
                <w:color w:val="385623" w:themeColor="accent6" w:themeShade="80"/>
              </w:rPr>
            </m:ctrlPr>
          </m:dPr>
          <m:e>
            <m:r>
              <w:rPr>
                <w:rFonts w:ascii="Cambria Math" w:eastAsiaTheme="minorEastAsia" w:hAnsi="Cambria Math" w:cs="Arial"/>
                <w:color w:val="385623" w:themeColor="accent6" w:themeShade="80"/>
              </w:rPr>
              <m:t>t</m:t>
            </m:r>
          </m:e>
        </m:d>
        <m:r>
          <m:rPr>
            <m:sty m:val="p"/>
          </m:rPr>
          <w:rPr>
            <w:rFonts w:ascii="Cambria Math" w:eastAsiaTheme="minorEastAsia" w:hAnsi="Cambria Math" w:cs="Arial"/>
            <w:color w:val="385623" w:themeColor="accent6" w:themeShade="80"/>
          </w:rPr>
          <m:t xml:space="preserve">= </m:t>
        </m:r>
        <m:sSup>
          <m:sSupPr>
            <m:ctrlPr>
              <w:rPr>
                <w:rFonts w:ascii="Cambria Math" w:eastAsiaTheme="minorEastAsia" w:hAnsi="Cambria Math" w:cs="Arial"/>
                <w:color w:val="385623" w:themeColor="accent6" w:themeShade="80"/>
              </w:rPr>
            </m:ctrlPr>
          </m:sSupPr>
          <m:e>
            <m:r>
              <w:rPr>
                <w:rFonts w:ascii="Cambria Math" w:eastAsiaTheme="minorEastAsia" w:hAnsi="Cambria Math" w:cs="Arial"/>
                <w:color w:val="385623" w:themeColor="accent6" w:themeShade="80"/>
              </w:rPr>
              <m:t>t</m:t>
            </m:r>
          </m:e>
          <m:sup>
            <m:r>
              <m:rPr>
                <m:sty m:val="p"/>
              </m:rPr>
              <w:rPr>
                <w:rFonts w:ascii="Cambria Math" w:eastAsiaTheme="minorEastAsia" w:hAnsi="Cambria Math" w:cs="Arial"/>
                <w:color w:val="385623" w:themeColor="accent6" w:themeShade="80"/>
              </w:rPr>
              <m:t>3</m:t>
            </m:r>
          </m:sup>
        </m:sSup>
      </m:oMath>
      <w:r w:rsidRPr="004C7EA7">
        <w:rPr>
          <w:rFonts w:ascii="Arial" w:eastAsiaTheme="minorEastAsia" w:hAnsi="Arial" w:cs="Arial"/>
          <w:color w:val="385623" w:themeColor="accent6" w:themeShade="80"/>
        </w:rPr>
        <w:t xml:space="preserve"> cuando </w:t>
      </w:r>
      <m:oMath>
        <m:r>
          <w:rPr>
            <w:rFonts w:ascii="Cambria Math" w:eastAsiaTheme="minorEastAsia" w:hAnsi="Cambria Math" w:cs="Arial"/>
            <w:color w:val="385623" w:themeColor="accent6" w:themeShade="80"/>
          </w:rPr>
          <m:t>t</m:t>
        </m:r>
        <m:r>
          <m:rPr>
            <m:sty m:val="p"/>
          </m:rPr>
          <w:rPr>
            <w:rFonts w:ascii="Cambria Math" w:eastAsiaTheme="minorEastAsia" w:hAnsi="Cambria Math" w:cs="Arial"/>
            <w:color w:val="385623" w:themeColor="accent6" w:themeShade="80"/>
          </w:rPr>
          <m:t>=2</m:t>
        </m:r>
      </m:oMath>
      <w:r w:rsidRPr="004C7EA7">
        <w:rPr>
          <w:rFonts w:ascii="Arial" w:eastAsiaTheme="minorEastAsia" w:hAnsi="Arial" w:cs="Arial"/>
          <w:color w:val="385623" w:themeColor="accent6" w:themeShade="80"/>
        </w:rPr>
        <w:t xml:space="preserve">  entonces: </w:t>
      </w:r>
      <m:oMath>
        <m:r>
          <m:rPr>
            <m:sty m:val="p"/>
          </m:rPr>
          <w:rPr>
            <w:rFonts w:ascii="Cambria Math" w:eastAsiaTheme="minorEastAsia" w:hAnsi="Cambria Math" w:cs="Arial"/>
            <w:color w:val="385623" w:themeColor="accent6" w:themeShade="80"/>
          </w:rPr>
          <m:t>-</m:t>
        </m:r>
        <m:r>
          <w:rPr>
            <w:rFonts w:ascii="Cambria Math" w:eastAsiaTheme="minorEastAsia" w:hAnsi="Cambria Math" w:cs="Arial"/>
            <w:color w:val="385623" w:themeColor="accent6" w:themeShade="80"/>
          </w:rPr>
          <m:t>f</m:t>
        </m:r>
        <m:d>
          <m:dPr>
            <m:ctrlPr>
              <w:rPr>
                <w:rFonts w:ascii="Cambria Math" w:eastAsiaTheme="minorEastAsia" w:hAnsi="Cambria Math" w:cs="Arial"/>
                <w:color w:val="385623" w:themeColor="accent6" w:themeShade="80"/>
              </w:rPr>
            </m:ctrlPr>
          </m:dPr>
          <m:e>
            <m:r>
              <m:rPr>
                <m:sty m:val="p"/>
              </m:rPr>
              <w:rPr>
                <w:rFonts w:ascii="Cambria Math" w:eastAsiaTheme="minorEastAsia" w:hAnsi="Cambria Math" w:cs="Arial"/>
                <w:color w:val="385623" w:themeColor="accent6" w:themeShade="80"/>
              </w:rPr>
              <m:t>2</m:t>
            </m:r>
          </m:e>
        </m:d>
        <m:r>
          <m:rPr>
            <m:sty m:val="p"/>
          </m:rPr>
          <w:rPr>
            <w:rFonts w:ascii="Cambria Math" w:eastAsiaTheme="minorEastAsia" w:hAnsi="Cambria Math" w:cs="Arial"/>
            <w:color w:val="385623" w:themeColor="accent6" w:themeShade="80"/>
          </w:rPr>
          <m:t>=</m:t>
        </m:r>
        <m:sSup>
          <m:sSupPr>
            <m:ctrlPr>
              <w:rPr>
                <w:rFonts w:ascii="Cambria Math" w:eastAsiaTheme="minorEastAsia" w:hAnsi="Cambria Math" w:cs="Arial"/>
                <w:color w:val="385623" w:themeColor="accent6" w:themeShade="80"/>
              </w:rPr>
            </m:ctrlPr>
          </m:sSupPr>
          <m:e>
            <m:r>
              <m:rPr>
                <m:sty m:val="p"/>
              </m:rPr>
              <w:rPr>
                <w:rFonts w:ascii="Cambria Math" w:eastAsiaTheme="minorEastAsia" w:hAnsi="Cambria Math" w:cs="Arial"/>
                <w:color w:val="385623" w:themeColor="accent6" w:themeShade="80"/>
              </w:rPr>
              <m:t>-</m:t>
            </m:r>
            <m:d>
              <m:dPr>
                <m:ctrlPr>
                  <w:rPr>
                    <w:rFonts w:ascii="Cambria Math" w:eastAsiaTheme="minorEastAsia" w:hAnsi="Cambria Math" w:cs="Arial"/>
                    <w:color w:val="385623" w:themeColor="accent6" w:themeShade="80"/>
                  </w:rPr>
                </m:ctrlPr>
              </m:dPr>
              <m:e>
                <m:r>
                  <m:rPr>
                    <m:sty m:val="p"/>
                  </m:rPr>
                  <w:rPr>
                    <w:rFonts w:ascii="Cambria Math" w:eastAsiaTheme="minorEastAsia" w:hAnsi="Cambria Math" w:cs="Arial"/>
                    <w:color w:val="385623" w:themeColor="accent6" w:themeShade="80"/>
                  </w:rPr>
                  <m:t>2</m:t>
                </m:r>
              </m:e>
            </m:d>
          </m:e>
          <m:sup>
            <m:r>
              <m:rPr>
                <m:sty m:val="p"/>
              </m:rPr>
              <w:rPr>
                <w:rFonts w:ascii="Cambria Math" w:eastAsiaTheme="minorEastAsia" w:hAnsi="Cambria Math" w:cs="Arial"/>
                <w:color w:val="385623" w:themeColor="accent6" w:themeShade="80"/>
              </w:rPr>
              <m:t>3</m:t>
            </m:r>
          </m:sup>
        </m:sSup>
        <m:r>
          <m:rPr>
            <m:sty m:val="p"/>
          </m:rPr>
          <w:rPr>
            <w:rFonts w:ascii="Cambria Math" w:eastAsiaTheme="minorEastAsia" w:hAnsi="Cambria Math" w:cs="Arial"/>
            <w:color w:val="385623" w:themeColor="accent6" w:themeShade="80"/>
          </w:rPr>
          <m:t>=-8</m:t>
        </m:r>
      </m:oMath>
      <w:r w:rsidRPr="004C7EA7">
        <w:rPr>
          <w:rFonts w:ascii="Arial" w:eastAsiaTheme="minorEastAsia" w:hAnsi="Arial" w:cs="Arial"/>
          <w:color w:val="385623" w:themeColor="accent6" w:themeShade="80"/>
        </w:rPr>
        <w:t>.</w:t>
      </w:r>
    </w:p>
    <w:p w14:paraId="4F88E2F1"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p>
    <w:p w14:paraId="51770BB2" w14:textId="59B55631" w:rsidR="00773BE1" w:rsidRPr="004C7EA7" w:rsidRDefault="00773BE1" w:rsidP="00773BE1">
      <w:pPr>
        <w:adjustRightInd w:val="0"/>
        <w:spacing w:after="0" w:line="240" w:lineRule="auto"/>
        <w:ind w:right="-113"/>
        <w:rPr>
          <w:rFonts w:ascii="Arial" w:eastAsiaTheme="minorEastAsia" w:hAnsi="Arial" w:cs="Arial"/>
          <w:i/>
          <w:color w:val="385623" w:themeColor="accent6" w:themeShade="80"/>
        </w:rPr>
      </w:pPr>
      <w:r w:rsidRPr="004C7EA7">
        <w:rPr>
          <w:rFonts w:ascii="Arial" w:eastAsiaTheme="minorEastAsia" w:hAnsi="Arial" w:cs="Arial"/>
          <w:color w:val="385623" w:themeColor="accent6" w:themeShade="80"/>
        </w:rPr>
        <w:lastRenderedPageBreak/>
        <w:t xml:space="preserve">Aunque se evidencia la igualdad por medio de este criterio, en la gráfica se muestra cómo los valores reflejados sobre el eje vertical son diferentes, lo cual hace que la función sea asimétrica con respecto </w:t>
      </w:r>
      <w:r w:rsidR="00031235">
        <w:rPr>
          <w:rFonts w:ascii="Arial" w:eastAsiaTheme="minorEastAsia" w:hAnsi="Arial" w:cs="Arial"/>
          <w:color w:val="385623" w:themeColor="accent6" w:themeShade="80"/>
        </w:rPr>
        <w:t>del</w:t>
      </w:r>
      <w:r w:rsidRPr="004C7EA7">
        <w:rPr>
          <w:rFonts w:ascii="Arial" w:eastAsiaTheme="minorEastAsia" w:hAnsi="Arial" w:cs="Arial"/>
          <w:color w:val="385623" w:themeColor="accent6" w:themeShade="80"/>
        </w:rPr>
        <w:t xml:space="preserve"> eje </w:t>
      </w:r>
      <w:r w:rsidRPr="004C7EA7">
        <w:rPr>
          <w:rFonts w:ascii="Arial" w:eastAsiaTheme="minorEastAsia" w:hAnsi="Arial" w:cs="Arial"/>
          <w:i/>
          <w:color w:val="385623" w:themeColor="accent6" w:themeShade="80"/>
        </w:rPr>
        <w:t>y</w:t>
      </w:r>
      <w:r w:rsidRPr="004C7EA7">
        <w:rPr>
          <w:rFonts w:ascii="Arial" w:eastAsiaTheme="minorEastAsia" w:hAnsi="Arial" w:cs="Arial"/>
          <w:color w:val="385623" w:themeColor="accent6" w:themeShade="80"/>
        </w:rPr>
        <w:t>.</w:t>
      </w:r>
    </w:p>
    <w:p w14:paraId="5F0884D4" w14:textId="77777777" w:rsidR="00773BE1" w:rsidRPr="004C7EA7" w:rsidRDefault="00773BE1" w:rsidP="00773BE1">
      <w:pPr>
        <w:adjustRightInd w:val="0"/>
        <w:spacing w:after="0" w:line="240" w:lineRule="auto"/>
        <w:ind w:right="-113"/>
        <w:rPr>
          <w:rFonts w:ascii="Arial" w:eastAsiaTheme="minorEastAsia" w:hAnsi="Arial" w:cs="Arial"/>
          <w:color w:val="385623" w:themeColor="accent6" w:themeShade="80"/>
        </w:rPr>
      </w:pPr>
    </w:p>
    <w:p w14:paraId="64DC98B2" w14:textId="77777777" w:rsidR="00773BE1" w:rsidRPr="000576AA" w:rsidRDefault="00773BE1" w:rsidP="00773BE1">
      <w:pPr>
        <w:tabs>
          <w:tab w:val="left" w:pos="6750"/>
        </w:tabs>
        <w:adjustRightInd w:val="0"/>
        <w:spacing w:after="0" w:line="240" w:lineRule="auto"/>
        <w:ind w:right="-113"/>
        <w:jc w:val="center"/>
        <w:rPr>
          <w:rFonts w:ascii="Arial" w:eastAsiaTheme="minorEastAsia" w:hAnsi="Arial" w:cs="Arial"/>
          <w:color w:val="385623" w:themeColor="accent6" w:themeShade="80"/>
        </w:rPr>
      </w:pPr>
      <w:r w:rsidRPr="000576AA">
        <w:rPr>
          <w:rFonts w:ascii="Arial" w:eastAsiaTheme="minorEastAsia" w:hAnsi="Arial" w:cs="Arial"/>
          <w:color w:val="385623" w:themeColor="accent6" w:themeShade="80"/>
        </w:rPr>
        <w:t>.</w:t>
      </w:r>
      <w:r w:rsidRPr="000576AA">
        <w:rPr>
          <w:rFonts w:ascii="Arial" w:eastAsiaTheme="minorEastAsia" w:hAnsi="Arial" w:cs="Arial"/>
          <w:noProof/>
          <w:color w:val="385623" w:themeColor="accent6" w:themeShade="80"/>
          <w:lang w:eastAsia="es-ES"/>
        </w:rPr>
        <w:drawing>
          <wp:inline distT="0" distB="0" distL="0" distR="0" wp14:anchorId="4FFA9059" wp14:editId="5A80850A">
            <wp:extent cx="1750060" cy="2614295"/>
            <wp:effectExtent l="25400" t="25400" r="27940" b="273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364" t="244" r="700" b="765"/>
                    <a:stretch/>
                  </pic:blipFill>
                  <pic:spPr bwMode="auto">
                    <a:xfrm>
                      <a:off x="0" y="0"/>
                      <a:ext cx="1750060" cy="261429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Pr="000576AA">
        <w:rPr>
          <w:rFonts w:ascii="Arial" w:eastAsiaTheme="minorEastAsia" w:hAnsi="Arial" w:cs="Arial"/>
          <w:color w:val="385623" w:themeColor="accent6" w:themeShade="80"/>
        </w:rPr>
        <w:t>.</w:t>
      </w:r>
    </w:p>
    <w:p w14:paraId="5148CD4B" w14:textId="25AC6788" w:rsidR="00773BE1" w:rsidRPr="00B750E5" w:rsidRDefault="00913B1F" w:rsidP="00B750E5">
      <w:pPr>
        <w:tabs>
          <w:tab w:val="left" w:pos="6750"/>
        </w:tabs>
        <w:adjustRightInd w:val="0"/>
        <w:spacing w:after="0" w:line="240" w:lineRule="auto"/>
        <w:ind w:right="-113"/>
        <w:jc w:val="center"/>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Figura 2. Función cú</w:t>
      </w:r>
      <w:r w:rsidR="00773BE1" w:rsidRPr="00B750E5">
        <w:rPr>
          <w:rFonts w:ascii="Arial" w:eastAsiaTheme="minorEastAsia" w:hAnsi="Arial" w:cs="Arial"/>
          <w:color w:val="385623" w:themeColor="accent6" w:themeShade="80"/>
          <w:sz w:val="18"/>
          <w:szCs w:val="18"/>
        </w:rPr>
        <w:t xml:space="preserve">bica asimétrica al eje vertical. Esta figura </w:t>
      </w:r>
      <w:r w:rsidR="00773BE1" w:rsidRPr="00B750E5">
        <w:rPr>
          <w:rFonts w:ascii="Arial" w:hAnsi="Arial" w:cs="Arial"/>
          <w:color w:val="385623" w:themeColor="accent6" w:themeShade="80"/>
          <w:sz w:val="18"/>
          <w:szCs w:val="18"/>
        </w:rPr>
        <w:t>muestra los puntos en los cuales sus valores sobre el eje vertical son asimétricos.</w:t>
      </w:r>
    </w:p>
    <w:p w14:paraId="70F8A1C4" w14:textId="77777777" w:rsidR="00773BE1" w:rsidRPr="003563AB" w:rsidRDefault="00773BE1" w:rsidP="00773BE1">
      <w:pPr>
        <w:pStyle w:val="Prrafodelista"/>
        <w:adjustRightInd w:val="0"/>
        <w:spacing w:after="0" w:line="240" w:lineRule="auto"/>
        <w:ind w:left="0" w:right="-113"/>
        <w:rPr>
          <w:rFonts w:ascii="Arial" w:eastAsiaTheme="majorEastAsia" w:hAnsi="Arial" w:cs="Arial"/>
          <w:b/>
          <w:bCs/>
          <w:color w:val="385623" w:themeColor="accent6" w:themeShade="80"/>
          <w:lang w:eastAsia="es-CO"/>
        </w:rPr>
      </w:pPr>
    </w:p>
    <w:p w14:paraId="0D62CF26" w14:textId="7777777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r w:rsidRPr="003563AB">
        <w:rPr>
          <w:rFonts w:ascii="Arial" w:eastAsiaTheme="minorEastAsia" w:hAnsi="Arial" w:cs="Arial"/>
          <w:color w:val="385623" w:themeColor="accent6" w:themeShade="80"/>
        </w:rPr>
        <w:t>De acuerdo con los conceptos de simetría es posible simplificar parte de la solución de las series de Fourier de la siguiente manera:</w:t>
      </w:r>
    </w:p>
    <w:p w14:paraId="22B18A7F" w14:textId="7777777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p>
    <w:p w14:paraId="101AEBA1" w14:textId="7777777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r w:rsidRPr="003563AB">
        <w:rPr>
          <w:rFonts w:ascii="Arial" w:eastAsiaTheme="minorEastAsia" w:hAnsi="Arial" w:cs="Arial"/>
          <w:color w:val="385623" w:themeColor="accent6" w:themeShade="80"/>
        </w:rPr>
        <w:t xml:space="preserve">1. Si la función es par solo se definen los coeficientes: </w:t>
      </w:r>
      <m:oMath>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a</m:t>
            </m:r>
          </m:e>
          <m:sub>
            <m:r>
              <w:rPr>
                <w:rFonts w:ascii="Cambria Math" w:eastAsiaTheme="minorEastAsia" w:hAnsi="Cambria Math" w:cs="Arial"/>
                <w:color w:val="385623" w:themeColor="accent6" w:themeShade="80"/>
              </w:rPr>
              <m:t>0</m:t>
            </m:r>
          </m:sub>
        </m:sSub>
      </m:oMath>
      <w:r w:rsidRPr="003563AB">
        <w:rPr>
          <w:rFonts w:ascii="Arial" w:eastAsiaTheme="minorEastAsia" w:hAnsi="Arial" w:cs="Arial"/>
          <w:color w:val="385623" w:themeColor="accent6" w:themeShade="80"/>
        </w:rPr>
        <w:t xml:space="preserve"> y </w:t>
      </w:r>
      <m:oMath>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a</m:t>
            </m:r>
          </m:e>
          <m:sub>
            <m:r>
              <w:rPr>
                <w:rFonts w:ascii="Cambria Math" w:eastAsiaTheme="minorEastAsia" w:hAnsi="Cambria Math" w:cs="Arial"/>
                <w:color w:val="385623" w:themeColor="accent6" w:themeShade="80"/>
              </w:rPr>
              <m:t>n</m:t>
            </m:r>
          </m:sub>
        </m:sSub>
      </m:oMath>
      <w:r w:rsidRPr="003563AB">
        <w:rPr>
          <w:rFonts w:ascii="Arial" w:eastAsiaTheme="minorEastAsia" w:hAnsi="Arial" w:cs="Arial"/>
          <w:color w:val="385623" w:themeColor="accent6" w:themeShade="80"/>
        </w:rPr>
        <w:t>.</w:t>
      </w:r>
    </w:p>
    <w:p w14:paraId="73CE2985" w14:textId="77777777" w:rsidR="00773BE1" w:rsidRPr="003563AB" w:rsidRDefault="00773BE1" w:rsidP="00773BE1">
      <w:pPr>
        <w:adjustRightInd w:val="0"/>
        <w:spacing w:after="0" w:line="240" w:lineRule="auto"/>
        <w:ind w:right="-113"/>
        <w:rPr>
          <w:rFonts w:ascii="Arial" w:eastAsiaTheme="minorEastAsia" w:hAnsi="Arial" w:cs="Arial"/>
          <w:color w:val="385623" w:themeColor="accent6" w:themeShade="80"/>
        </w:rPr>
      </w:pPr>
      <w:r w:rsidRPr="003563AB">
        <w:rPr>
          <w:rFonts w:ascii="Arial" w:eastAsiaTheme="minorEastAsia" w:hAnsi="Arial" w:cs="Arial"/>
          <w:color w:val="385623" w:themeColor="accent6" w:themeShade="80"/>
        </w:rPr>
        <w:t xml:space="preserve">2. Si la función es impar solo se define el coeficiente </w:t>
      </w:r>
      <m:oMath>
        <m:sSub>
          <m:sSubPr>
            <m:ctrlPr>
              <w:rPr>
                <w:rFonts w:ascii="Cambria Math" w:eastAsiaTheme="minorEastAsia" w:hAnsi="Cambria Math" w:cs="Arial"/>
                <w:i/>
                <w:color w:val="385623" w:themeColor="accent6" w:themeShade="80"/>
              </w:rPr>
            </m:ctrlPr>
          </m:sSubPr>
          <m:e>
            <m:r>
              <w:rPr>
                <w:rFonts w:ascii="Cambria Math" w:eastAsiaTheme="minorEastAsia" w:hAnsi="Cambria Math" w:cs="Arial"/>
                <w:color w:val="385623" w:themeColor="accent6" w:themeShade="80"/>
              </w:rPr>
              <m:t>b</m:t>
            </m:r>
          </m:e>
          <m:sub>
            <m:r>
              <w:rPr>
                <w:rFonts w:ascii="Cambria Math" w:eastAsiaTheme="minorEastAsia" w:hAnsi="Cambria Math" w:cs="Arial"/>
                <w:color w:val="385623" w:themeColor="accent6" w:themeShade="80"/>
              </w:rPr>
              <m:t>n</m:t>
            </m:r>
          </m:sub>
        </m:sSub>
      </m:oMath>
      <w:r w:rsidRPr="003563AB">
        <w:rPr>
          <w:rFonts w:ascii="Arial" w:eastAsiaTheme="minorEastAsia" w:hAnsi="Arial" w:cs="Arial"/>
          <w:color w:val="385623" w:themeColor="accent6" w:themeShade="80"/>
        </w:rPr>
        <w:t>.</w:t>
      </w:r>
    </w:p>
    <w:p w14:paraId="471BCFB2" w14:textId="77777777" w:rsidR="005B695A" w:rsidRDefault="00773BE1" w:rsidP="00773BE1">
      <w:pPr>
        <w:adjustRightInd w:val="0"/>
        <w:spacing w:after="0" w:line="240" w:lineRule="auto"/>
        <w:ind w:right="-113"/>
      </w:pPr>
      <w:r w:rsidRPr="003563AB">
        <w:rPr>
          <w:rFonts w:ascii="Arial" w:eastAsiaTheme="minorEastAsia" w:hAnsi="Arial" w:cs="Arial"/>
          <w:color w:val="385623" w:themeColor="accent6" w:themeShade="80"/>
        </w:rPr>
        <w:t>3. Si la función no pertenece a ninguno de estos criterios se calculan todos los coeficientes.</w:t>
      </w:r>
    </w:p>
    <w:sectPr w:rsidR="005B695A"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E1"/>
    <w:rsid w:val="000260DE"/>
    <w:rsid w:val="00031235"/>
    <w:rsid w:val="00043275"/>
    <w:rsid w:val="000538A6"/>
    <w:rsid w:val="00056563"/>
    <w:rsid w:val="000658FA"/>
    <w:rsid w:val="000673D0"/>
    <w:rsid w:val="000956E1"/>
    <w:rsid w:val="000B7A9C"/>
    <w:rsid w:val="000E330B"/>
    <w:rsid w:val="0010122B"/>
    <w:rsid w:val="00155F7C"/>
    <w:rsid w:val="00162F9C"/>
    <w:rsid w:val="00163C4A"/>
    <w:rsid w:val="0018113C"/>
    <w:rsid w:val="001E4359"/>
    <w:rsid w:val="001F0BBD"/>
    <w:rsid w:val="002316B9"/>
    <w:rsid w:val="00284A02"/>
    <w:rsid w:val="00292275"/>
    <w:rsid w:val="002A07B3"/>
    <w:rsid w:val="0031067E"/>
    <w:rsid w:val="00350CF1"/>
    <w:rsid w:val="00373921"/>
    <w:rsid w:val="00383196"/>
    <w:rsid w:val="003A6224"/>
    <w:rsid w:val="003E6561"/>
    <w:rsid w:val="00437BED"/>
    <w:rsid w:val="00446301"/>
    <w:rsid w:val="00456F3E"/>
    <w:rsid w:val="00473172"/>
    <w:rsid w:val="004E6B6E"/>
    <w:rsid w:val="004E6FBC"/>
    <w:rsid w:val="005B20A9"/>
    <w:rsid w:val="005B5C8A"/>
    <w:rsid w:val="00656431"/>
    <w:rsid w:val="00664E23"/>
    <w:rsid w:val="00672A85"/>
    <w:rsid w:val="006C647A"/>
    <w:rsid w:val="006E267B"/>
    <w:rsid w:val="006E79C2"/>
    <w:rsid w:val="007554D5"/>
    <w:rsid w:val="00773BE1"/>
    <w:rsid w:val="007B1A54"/>
    <w:rsid w:val="007F70E6"/>
    <w:rsid w:val="00822346"/>
    <w:rsid w:val="008264D6"/>
    <w:rsid w:val="0086396F"/>
    <w:rsid w:val="008B00B8"/>
    <w:rsid w:val="008D1C34"/>
    <w:rsid w:val="008E72E2"/>
    <w:rsid w:val="008F5A74"/>
    <w:rsid w:val="00913B1F"/>
    <w:rsid w:val="009318DB"/>
    <w:rsid w:val="009E1583"/>
    <w:rsid w:val="009E356A"/>
    <w:rsid w:val="00A05374"/>
    <w:rsid w:val="00A27CAE"/>
    <w:rsid w:val="00A86AFB"/>
    <w:rsid w:val="00AA5AF5"/>
    <w:rsid w:val="00AD462A"/>
    <w:rsid w:val="00B456F8"/>
    <w:rsid w:val="00B56BB5"/>
    <w:rsid w:val="00B65BB6"/>
    <w:rsid w:val="00B750E5"/>
    <w:rsid w:val="00C07F27"/>
    <w:rsid w:val="00C1031A"/>
    <w:rsid w:val="00C208D5"/>
    <w:rsid w:val="00C279A0"/>
    <w:rsid w:val="00C35022"/>
    <w:rsid w:val="00C9612B"/>
    <w:rsid w:val="00CA015A"/>
    <w:rsid w:val="00CB0932"/>
    <w:rsid w:val="00CB5FE5"/>
    <w:rsid w:val="00CB672C"/>
    <w:rsid w:val="00CD5ABB"/>
    <w:rsid w:val="00D20C96"/>
    <w:rsid w:val="00D33ABE"/>
    <w:rsid w:val="00DB46C4"/>
    <w:rsid w:val="00DF0FDB"/>
    <w:rsid w:val="00E23A65"/>
    <w:rsid w:val="00E330AD"/>
    <w:rsid w:val="00E34BE5"/>
    <w:rsid w:val="00E600F9"/>
    <w:rsid w:val="00ED379C"/>
    <w:rsid w:val="00F106FB"/>
    <w:rsid w:val="00F21340"/>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8E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E1"/>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43</cp:revision>
  <dcterms:created xsi:type="dcterms:W3CDTF">2018-04-16T16:40:00Z</dcterms:created>
  <dcterms:modified xsi:type="dcterms:W3CDTF">2018-08-10T15:59:00Z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