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3334E9" w:rsidRDefault="00F55F9F" w:rsidP="003334E9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Interactividad</w:t>
      </w:r>
      <w:r w:rsidR="00BE2290" w:rsidRPr="003334E9">
        <w:rPr>
          <w:rFonts w:ascii="Arial" w:hAnsi="Arial" w:cs="Arial"/>
          <w:b/>
        </w:rPr>
        <w:t>: Actividad de autoaprendizaje Nº4</w:t>
      </w:r>
      <w:r>
        <w:rPr>
          <w:rFonts w:ascii="Arial" w:hAnsi="Arial" w:cs="Arial"/>
          <w:b/>
        </w:rPr>
        <w:t>: Estudio de caso Coca Cola</w:t>
      </w:r>
    </w:p>
    <w:p w:rsidR="00BE2290" w:rsidRPr="003334E9" w:rsidRDefault="00BE2290" w:rsidP="003334E9">
      <w:pPr>
        <w:rPr>
          <w:rFonts w:ascii="Arial" w:hAnsi="Arial" w:cs="Arial"/>
          <w:color w:val="FF0000"/>
        </w:rPr>
      </w:pPr>
      <w:r w:rsidRPr="003334E9">
        <w:rPr>
          <w:rFonts w:ascii="Arial" w:hAnsi="Arial" w:cs="Arial"/>
          <w:color w:val="FF0000"/>
        </w:rPr>
        <w:t xml:space="preserve">Por favor, diseñar un esquema interactivo </w:t>
      </w:r>
      <w:r w:rsidR="00F55F9F">
        <w:rPr>
          <w:rFonts w:ascii="Arial" w:hAnsi="Arial" w:cs="Arial"/>
          <w:color w:val="FF0000"/>
        </w:rPr>
        <w:t xml:space="preserve">consistente en un gráfico como el de la referencia. </w:t>
      </w:r>
      <w:r w:rsidR="00311B07">
        <w:rPr>
          <w:rFonts w:ascii="Arial" w:hAnsi="Arial" w:cs="Arial"/>
          <w:color w:val="FF0000"/>
        </w:rPr>
        <w:t xml:space="preserve">Es un esquema diferente a los planteados por la Universidad, si considera que aplica alguno sin que se pierda la esencia del ejercicio, e </w:t>
      </w:r>
      <w:proofErr w:type="spellStart"/>
      <w:r w:rsidR="00311B07">
        <w:rPr>
          <w:rFonts w:ascii="Arial" w:hAnsi="Arial" w:cs="Arial"/>
          <w:color w:val="FF0000"/>
        </w:rPr>
        <w:t>sposible</w:t>
      </w:r>
      <w:proofErr w:type="spellEnd"/>
      <w:r w:rsidR="00311B07">
        <w:rPr>
          <w:rFonts w:ascii="Arial" w:hAnsi="Arial" w:cs="Arial"/>
          <w:color w:val="FF0000"/>
        </w:rPr>
        <w:t xml:space="preserve"> emplearlo, de lo contrario, diseñarlo de acuerdo con la referencia. </w:t>
      </w:r>
      <w:r w:rsidR="00F55F9F">
        <w:rPr>
          <w:rFonts w:ascii="Arial" w:hAnsi="Arial" w:cs="Arial"/>
          <w:color w:val="FF0000"/>
        </w:rPr>
        <w:t>Al hacer clic en cada ítem, aparece ventana emergente con la explicación.</w:t>
      </w:r>
    </w:p>
    <w:p w:rsidR="00BE2290" w:rsidRPr="003334E9" w:rsidRDefault="00BE2290" w:rsidP="003334E9">
      <w:pPr>
        <w:rPr>
          <w:rFonts w:ascii="Arial" w:hAnsi="Arial" w:cs="Arial"/>
        </w:rPr>
      </w:pPr>
      <w:r w:rsidRPr="003334E9">
        <w:rPr>
          <w:rFonts w:ascii="Arial" w:hAnsi="Arial" w:cs="Arial"/>
          <w:color w:val="FF0000"/>
        </w:rPr>
        <w:t xml:space="preserve">Título: </w:t>
      </w:r>
      <w:r w:rsidR="00F55F9F" w:rsidRPr="003334E9">
        <w:rPr>
          <w:rFonts w:ascii="Arial" w:hAnsi="Arial" w:cs="Arial"/>
          <w:b/>
        </w:rPr>
        <w:t>Actividad de autoaprendizaje Nº4</w:t>
      </w:r>
      <w:r w:rsidR="00F55F9F">
        <w:rPr>
          <w:rFonts w:ascii="Arial" w:hAnsi="Arial" w:cs="Arial"/>
          <w:b/>
        </w:rPr>
        <w:t>: Estudio de caso Coca Cola</w:t>
      </w:r>
    </w:p>
    <w:p w:rsidR="003334E9" w:rsidRDefault="00BE2290" w:rsidP="003334E9">
      <w:pPr>
        <w:rPr>
          <w:rFonts w:ascii="Arial" w:hAnsi="Arial" w:cs="Arial"/>
        </w:rPr>
      </w:pPr>
      <w:r w:rsidRPr="003334E9">
        <w:rPr>
          <w:rFonts w:ascii="Arial" w:hAnsi="Arial" w:cs="Arial"/>
          <w:color w:val="FF0000"/>
        </w:rPr>
        <w:t>Instrucción al estudiante</w:t>
      </w:r>
      <w:r w:rsidRPr="003334E9">
        <w:rPr>
          <w:rFonts w:ascii="Arial" w:hAnsi="Arial" w:cs="Arial"/>
        </w:rPr>
        <w:t xml:space="preserve">: </w:t>
      </w:r>
      <w:r w:rsidR="00311B07">
        <w:rPr>
          <w:rFonts w:ascii="Arial" w:hAnsi="Arial" w:cs="Arial"/>
        </w:rPr>
        <w:t xml:space="preserve">Teniendo en cuenta los conceptos sobre diseño de una cadena de abastecimiento, </w:t>
      </w:r>
      <w:r w:rsidR="00F55F9F">
        <w:rPr>
          <w:rFonts w:ascii="Arial" w:hAnsi="Arial" w:cs="Arial"/>
        </w:rPr>
        <w:t xml:space="preserve">haz clic sobre cada uno de los ítems </w:t>
      </w:r>
      <w:r w:rsidR="00311B07">
        <w:rPr>
          <w:rFonts w:ascii="Arial" w:hAnsi="Arial" w:cs="Arial"/>
        </w:rPr>
        <w:t>del gráfico para conocer los aspectos mencionados de la cadena de abastecimiento de Coca Cola. Investiga información adicional relacionada en portales web, realiza un análisis y envíalo a tu tutor.</w:t>
      </w:r>
    </w:p>
    <w:p w:rsidR="00311B07" w:rsidRDefault="00311B07" w:rsidP="003334E9">
      <w:pPr>
        <w:rPr>
          <w:rFonts w:ascii="Arial" w:eastAsia="Times New Roman" w:hAnsi="Arial" w:cs="Arial"/>
        </w:rPr>
      </w:pPr>
      <w:r>
        <w:rPr>
          <w:noProof/>
          <w:lang w:val="en-US"/>
        </w:rPr>
        <w:drawing>
          <wp:inline distT="0" distB="0" distL="0" distR="0" wp14:anchorId="1F56ACA6" wp14:editId="5B2A0FB4">
            <wp:extent cx="1266825" cy="12192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7340" t="27592" r="49200" b="32274"/>
                    <a:stretch/>
                  </pic:blipFill>
                  <pic:spPr bwMode="auto">
                    <a:xfrm>
                      <a:off x="0" y="0"/>
                      <a:ext cx="1266825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0E44" w:rsidRDefault="00311B07" w:rsidP="00311B07">
      <w:pPr>
        <w:rPr>
          <w:b/>
          <w:bCs/>
          <w:lang w:val="es-CO" w:eastAsia="es-CO"/>
        </w:rPr>
      </w:pPr>
      <w:r w:rsidRPr="00311B07">
        <w:rPr>
          <w:lang w:val="es-CO" w:eastAsia="es-CO"/>
        </w:rPr>
        <w:t>Image ID:</w:t>
      </w:r>
      <w:r>
        <w:rPr>
          <w:lang w:val="es-CO" w:eastAsia="es-CO"/>
        </w:rPr>
        <w:t xml:space="preserve"> </w:t>
      </w:r>
      <w:r w:rsidRPr="00311B07">
        <w:rPr>
          <w:b/>
          <w:bCs/>
          <w:lang w:val="es-CO" w:eastAsia="es-CO"/>
        </w:rPr>
        <w:t>ISS_3692_25551</w:t>
      </w:r>
    </w:p>
    <w:p w:rsidR="00DB0E44" w:rsidRPr="00311B07" w:rsidRDefault="00DB0E44" w:rsidP="00311B07">
      <w:pPr>
        <w:rPr>
          <w:lang w:val="es-CO" w:eastAsia="es-CO"/>
        </w:rPr>
      </w:pPr>
      <w:r>
        <w:rPr>
          <w:noProof/>
          <w:lang w:val="en-US"/>
        </w:rPr>
        <w:drawing>
          <wp:inline distT="0" distB="0" distL="0" distR="0">
            <wp:extent cx="5400040" cy="2664460"/>
            <wp:effectExtent l="0" t="0" r="10160" b="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BE2290" w:rsidRPr="003334E9" w:rsidRDefault="00DB0E44" w:rsidP="003334E9">
      <w:pPr>
        <w:rPr>
          <w:rFonts w:ascii="Arial" w:hAnsi="Arial" w:cs="Arial"/>
        </w:rPr>
      </w:pPr>
      <w:r>
        <w:rPr>
          <w:rFonts w:ascii="Arial" w:hAnsi="Arial" w:cs="Arial"/>
        </w:rPr>
        <w:t>Las ventanas emergentes que deben aparecer al hacer clic sobre cada cuadro son las siguientes:</w:t>
      </w:r>
    </w:p>
    <w:p w:rsidR="00BE2290" w:rsidRPr="00DB0E44" w:rsidRDefault="00BE2290" w:rsidP="00DB0E44">
      <w:pPr>
        <w:pStyle w:val="ListParagraph"/>
        <w:ind w:left="0"/>
        <w:jc w:val="left"/>
        <w:rPr>
          <w:rFonts w:cs="Arial"/>
          <w:b/>
          <w:sz w:val="22"/>
          <w:szCs w:val="22"/>
        </w:rPr>
      </w:pPr>
      <w:r w:rsidRPr="00DB0E44">
        <w:rPr>
          <w:rFonts w:cs="Arial"/>
          <w:b/>
          <w:sz w:val="22"/>
          <w:szCs w:val="22"/>
        </w:rPr>
        <w:t>Ubicación de la fábrica, infraestructura</w:t>
      </w:r>
    </w:p>
    <w:p w:rsidR="00BE2290" w:rsidRPr="003334E9" w:rsidRDefault="00BE2290" w:rsidP="003334E9">
      <w:pPr>
        <w:autoSpaceDE w:val="0"/>
        <w:autoSpaceDN w:val="0"/>
        <w:adjustRightInd w:val="0"/>
        <w:rPr>
          <w:rFonts w:ascii="Arial" w:hAnsi="Arial" w:cs="Arial"/>
        </w:rPr>
      </w:pPr>
      <w:r w:rsidRPr="003334E9">
        <w:rPr>
          <w:rFonts w:ascii="Arial" w:hAnsi="Arial" w:cs="Arial"/>
        </w:rPr>
        <w:t xml:space="preserve">Esta fábrica está ubicada al norte de la ciudad de Bogotá en la zona de </w:t>
      </w:r>
      <w:proofErr w:type="spellStart"/>
      <w:r w:rsidRPr="003334E9">
        <w:rPr>
          <w:rFonts w:ascii="Arial" w:hAnsi="Arial" w:cs="Arial"/>
        </w:rPr>
        <w:t>Tocancipá</w:t>
      </w:r>
      <w:proofErr w:type="spellEnd"/>
      <w:r w:rsidRPr="003334E9">
        <w:rPr>
          <w:rFonts w:ascii="Arial" w:hAnsi="Arial" w:cs="Arial"/>
        </w:rPr>
        <w:t>, con la finalidad de evitar los niveles de contaminación y, agrandar las instalaciones, ya que se invirtió en material tecnológico que aporta a la integración de varias líneas de producción.</w:t>
      </w:r>
    </w:p>
    <w:p w:rsidR="00BE2290" w:rsidRPr="003334E9" w:rsidRDefault="00BE2290" w:rsidP="003334E9">
      <w:pPr>
        <w:autoSpaceDE w:val="0"/>
        <w:autoSpaceDN w:val="0"/>
        <w:adjustRightInd w:val="0"/>
        <w:rPr>
          <w:rFonts w:ascii="Arial" w:hAnsi="Arial" w:cs="Arial"/>
        </w:rPr>
      </w:pPr>
    </w:p>
    <w:p w:rsidR="00DB0E44" w:rsidRPr="00DB0E44" w:rsidRDefault="00DB0E44" w:rsidP="003334E9">
      <w:pPr>
        <w:rPr>
          <w:rFonts w:ascii="Arial" w:hAnsi="Arial" w:cs="Arial"/>
          <w:b/>
        </w:rPr>
      </w:pPr>
      <w:r w:rsidRPr="00DB0E44">
        <w:rPr>
          <w:rFonts w:ascii="Arial" w:hAnsi="Arial" w:cs="Arial"/>
          <w:b/>
        </w:rPr>
        <w:t>Proveedor</w:t>
      </w:r>
    </w:p>
    <w:p w:rsidR="00BE2290" w:rsidRPr="003334E9" w:rsidRDefault="00BE2290" w:rsidP="003334E9">
      <w:pPr>
        <w:rPr>
          <w:rFonts w:ascii="Arial" w:hAnsi="Arial" w:cs="Arial"/>
        </w:rPr>
      </w:pPr>
      <w:r w:rsidRPr="003334E9">
        <w:rPr>
          <w:rFonts w:ascii="Arial" w:hAnsi="Arial" w:cs="Arial"/>
        </w:rPr>
        <w:t xml:space="preserve">El proveedor principal: </w:t>
      </w:r>
      <w:proofErr w:type="spellStart"/>
      <w:r w:rsidRPr="003334E9">
        <w:rPr>
          <w:rFonts w:ascii="Arial" w:hAnsi="Arial" w:cs="Arial"/>
        </w:rPr>
        <w:t>Peldar</w:t>
      </w:r>
      <w:proofErr w:type="spellEnd"/>
      <w:r w:rsidRPr="003334E9">
        <w:rPr>
          <w:rFonts w:ascii="Arial" w:hAnsi="Arial" w:cs="Arial"/>
        </w:rPr>
        <w:t xml:space="preserve"> </w:t>
      </w:r>
    </w:p>
    <w:p w:rsidR="00DB0E44" w:rsidRDefault="00DB0E44" w:rsidP="003334E9">
      <w:pPr>
        <w:rPr>
          <w:rFonts w:ascii="Arial" w:hAnsi="Arial" w:cs="Arial"/>
        </w:rPr>
      </w:pPr>
    </w:p>
    <w:p w:rsidR="00DB0E44" w:rsidRPr="00DB0E44" w:rsidRDefault="00DB0E44" w:rsidP="003334E9">
      <w:pPr>
        <w:rPr>
          <w:rFonts w:ascii="Arial" w:hAnsi="Arial" w:cs="Arial"/>
          <w:b/>
        </w:rPr>
      </w:pPr>
      <w:r w:rsidRPr="00DB0E44">
        <w:rPr>
          <w:rFonts w:ascii="Arial" w:hAnsi="Arial" w:cs="Arial"/>
          <w:b/>
        </w:rPr>
        <w:t>Fabricación</w:t>
      </w:r>
    </w:p>
    <w:p w:rsidR="00BE2290" w:rsidRPr="003334E9" w:rsidRDefault="00DB0E44" w:rsidP="003334E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2290" w:rsidRPr="003334E9">
        <w:rPr>
          <w:rFonts w:ascii="Arial" w:hAnsi="Arial" w:cs="Arial"/>
        </w:rPr>
        <w:t>l tipo de fabricación es lineal y con almacenaje. Ya que es un producto de alta rotación, requiere de abastecimiento inmediato a la hora de cualquier pedido; además maneja lugares especializados para el almacenaje del producto terminado.</w:t>
      </w:r>
    </w:p>
    <w:p w:rsidR="00DB0E44" w:rsidRDefault="00DB0E44" w:rsidP="003334E9">
      <w:pPr>
        <w:rPr>
          <w:rFonts w:ascii="Arial" w:hAnsi="Arial" w:cs="Arial"/>
          <w:b/>
        </w:rPr>
      </w:pPr>
    </w:p>
    <w:p w:rsidR="00DB0E44" w:rsidRPr="00DB0E44" w:rsidRDefault="00DB0E44" w:rsidP="003334E9">
      <w:pPr>
        <w:rPr>
          <w:rFonts w:ascii="Arial" w:hAnsi="Arial" w:cs="Arial"/>
          <w:b/>
        </w:rPr>
      </w:pPr>
      <w:r w:rsidRPr="00DB0E44">
        <w:rPr>
          <w:rFonts w:ascii="Arial" w:hAnsi="Arial" w:cs="Arial"/>
          <w:b/>
        </w:rPr>
        <w:t>Distribución</w:t>
      </w:r>
    </w:p>
    <w:p w:rsidR="00BE2290" w:rsidRPr="003334E9" w:rsidRDefault="00DB0E44" w:rsidP="003334E9">
      <w:p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BE2290" w:rsidRPr="003334E9">
        <w:rPr>
          <w:rFonts w:ascii="Arial" w:hAnsi="Arial" w:cs="Arial"/>
        </w:rPr>
        <w:t>l método de distribución tiene dos ramas, distribución a minoristas (tiendas pequeñas) y lotes para los almacenes de gran fluidez, como los de cadena; por lo tanto se deben plantear estrategias para ambos casos. En el primer método las compras son constantes y no requieres cambios, mientras que en segundo los pedidos son por ciclos y por periodos en donde el pedido es similar o igual.</w:t>
      </w:r>
    </w:p>
    <w:p w:rsidR="00DB0E44" w:rsidRPr="00DB0E44" w:rsidRDefault="00DB0E44" w:rsidP="00DB0E44">
      <w:pPr>
        <w:rPr>
          <w:rFonts w:ascii="Arial" w:hAnsi="Arial" w:cs="Arial"/>
        </w:rPr>
      </w:pPr>
    </w:p>
    <w:p w:rsidR="00BE2290" w:rsidRPr="00DB0E44" w:rsidRDefault="00BE2290" w:rsidP="00DB0E44">
      <w:pPr>
        <w:rPr>
          <w:rFonts w:ascii="Arial" w:hAnsi="Arial" w:cs="Arial"/>
          <w:b/>
        </w:rPr>
      </w:pPr>
      <w:r w:rsidRPr="00DB0E44">
        <w:rPr>
          <w:rFonts w:ascii="Arial" w:hAnsi="Arial" w:cs="Arial"/>
          <w:b/>
        </w:rPr>
        <w:t>Plan de inte</w:t>
      </w:r>
      <w:r w:rsidR="00DB0E44" w:rsidRPr="00DB0E44">
        <w:rPr>
          <w:rFonts w:ascii="Arial" w:hAnsi="Arial" w:cs="Arial"/>
          <w:b/>
        </w:rPr>
        <w:t>gración de cadenas de suministro</w:t>
      </w:r>
    </w:p>
    <w:p w:rsidR="00BE2290" w:rsidRPr="003334E9" w:rsidRDefault="00BE2290" w:rsidP="003334E9">
      <w:pPr>
        <w:rPr>
          <w:rFonts w:ascii="Arial" w:hAnsi="Arial" w:cs="Arial"/>
        </w:rPr>
      </w:pPr>
      <w:r w:rsidRPr="00DB0E44">
        <w:rPr>
          <w:rFonts w:ascii="Arial" w:hAnsi="Arial" w:cs="Arial"/>
        </w:rPr>
        <w:t xml:space="preserve">Para Coca Cola en Colombia, unida con </w:t>
      </w:r>
      <w:proofErr w:type="spellStart"/>
      <w:r w:rsidRPr="00DB0E44">
        <w:rPr>
          <w:rFonts w:ascii="Arial" w:hAnsi="Arial" w:cs="Arial"/>
        </w:rPr>
        <w:t>Femsa</w:t>
      </w:r>
      <w:proofErr w:type="spellEnd"/>
      <w:r w:rsidRPr="00DB0E44">
        <w:rPr>
          <w:rFonts w:ascii="Arial" w:hAnsi="Arial" w:cs="Arial"/>
        </w:rPr>
        <w:t>, la integración de las cadenas de abastecimiento son regulares, ya que a menudo, con</w:t>
      </w:r>
      <w:r w:rsidR="00DB0E44">
        <w:rPr>
          <w:rFonts w:ascii="Arial" w:hAnsi="Arial" w:cs="Arial"/>
        </w:rPr>
        <w:t xml:space="preserve"> los nuevos productos, </w:t>
      </w:r>
      <w:r w:rsidRPr="00DB0E44">
        <w:rPr>
          <w:rFonts w:ascii="Arial" w:hAnsi="Arial" w:cs="Arial"/>
        </w:rPr>
        <w:t>se regula un eslabón importante de la cadena: la distribución, donde se alinean uno o más productos, por el hecho de que son llevados al mismo lugar o simplemente el empacado</w:t>
      </w:r>
      <w:r w:rsidRPr="003334E9">
        <w:rPr>
          <w:rFonts w:ascii="Arial" w:hAnsi="Arial" w:cs="Arial"/>
        </w:rPr>
        <w:t xml:space="preserve"> es similar.</w:t>
      </w:r>
    </w:p>
    <w:p w:rsidR="00DB0E44" w:rsidRDefault="00DB0E44" w:rsidP="00DB0E44">
      <w:pPr>
        <w:rPr>
          <w:rFonts w:ascii="Arial" w:hAnsi="Arial" w:cs="Arial"/>
        </w:rPr>
      </w:pPr>
    </w:p>
    <w:p w:rsidR="00BE2290" w:rsidRPr="00DB0E44" w:rsidRDefault="00DB0E44" w:rsidP="00DB0E44">
      <w:pPr>
        <w:rPr>
          <w:rFonts w:ascii="Arial" w:hAnsi="Arial" w:cs="Arial"/>
          <w:b/>
        </w:rPr>
      </w:pPr>
      <w:r w:rsidRPr="00DB0E44">
        <w:rPr>
          <w:rFonts w:ascii="Arial" w:hAnsi="Arial" w:cs="Arial"/>
          <w:b/>
        </w:rPr>
        <w:t>E</w:t>
      </w:r>
      <w:r w:rsidR="00BE2290" w:rsidRPr="00DB0E44">
        <w:rPr>
          <w:rFonts w:ascii="Arial" w:hAnsi="Arial" w:cs="Arial"/>
          <w:b/>
        </w:rPr>
        <w:t>strategia para optimiza</w:t>
      </w:r>
      <w:r w:rsidRPr="00DB0E44">
        <w:rPr>
          <w:rFonts w:ascii="Arial" w:hAnsi="Arial" w:cs="Arial"/>
          <w:b/>
        </w:rPr>
        <w:t>r los recursos y reducir costos</w:t>
      </w:r>
    </w:p>
    <w:p w:rsidR="00BE2290" w:rsidRPr="00DB0E44" w:rsidRDefault="00BE2290" w:rsidP="003334E9">
      <w:pPr>
        <w:rPr>
          <w:rFonts w:ascii="Arial" w:hAnsi="Arial" w:cs="Arial"/>
        </w:rPr>
      </w:pPr>
      <w:r w:rsidRPr="00DB0E44">
        <w:rPr>
          <w:rFonts w:ascii="Arial" w:hAnsi="Arial" w:cs="Arial"/>
        </w:rPr>
        <w:t>Una de las estrategias que usa Coca Cola para reducir sus costos está basada en el transporte y distribución, ya que usa un solo transporte para llevar varios productos a un lugar; además identifican rutas en donde los puntos a distribuir son cercanos, evitando el costo de combustible. Por otro lado, la bebida de 1.5 litros maneja un envase retornable, así se aminoran los costos de embaces nuevos.</w:t>
      </w:r>
    </w:p>
    <w:p w:rsidR="00BE2290" w:rsidRPr="00DB0E44" w:rsidRDefault="00BE2290" w:rsidP="003334E9">
      <w:pPr>
        <w:rPr>
          <w:rFonts w:ascii="Arial" w:hAnsi="Arial" w:cs="Arial"/>
        </w:rPr>
      </w:pPr>
    </w:p>
    <w:p w:rsidR="00BE2290" w:rsidRPr="003334E9" w:rsidRDefault="00BE2290" w:rsidP="003334E9">
      <w:pPr>
        <w:rPr>
          <w:rFonts w:ascii="Arial" w:hAnsi="Arial" w:cs="Arial"/>
        </w:rPr>
      </w:pPr>
    </w:p>
    <w:sectPr w:rsidR="00BE2290" w:rsidRPr="003334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357A"/>
    <w:multiLevelType w:val="hybridMultilevel"/>
    <w:tmpl w:val="E4BA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26739"/>
    <w:multiLevelType w:val="hybridMultilevel"/>
    <w:tmpl w:val="E4BA3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90"/>
    <w:rsid w:val="000576C9"/>
    <w:rsid w:val="00311B07"/>
    <w:rsid w:val="003334E9"/>
    <w:rsid w:val="003F67FE"/>
    <w:rsid w:val="005D6BCB"/>
    <w:rsid w:val="008028C8"/>
    <w:rsid w:val="00873D29"/>
    <w:rsid w:val="00BE2290"/>
    <w:rsid w:val="00DB0E44"/>
    <w:rsid w:val="00F5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BE229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eGrid">
    <w:name w:val="Table Grid"/>
    <w:basedOn w:val="TableNormal"/>
    <w:uiPriority w:val="59"/>
    <w:rsid w:val="00BE229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2290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E2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3334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aliases w:val="Tabla de gráficas"/>
    <w:basedOn w:val="Header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Header">
    <w:name w:val="header"/>
    <w:basedOn w:val="Normal"/>
    <w:link w:val="HeaderCh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6C9"/>
  </w:style>
  <w:style w:type="paragraph" w:styleId="ListParagraph">
    <w:name w:val="List Paragraph"/>
    <w:basedOn w:val="Normal"/>
    <w:uiPriority w:val="99"/>
    <w:qFormat/>
    <w:rsid w:val="00BE2290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table" w:styleId="TableGrid">
    <w:name w:val="Table Grid"/>
    <w:basedOn w:val="TableNormal"/>
    <w:uiPriority w:val="59"/>
    <w:rsid w:val="00BE2290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BE2290"/>
    <w:pPr>
      <w:numPr>
        <w:ilvl w:val="1"/>
      </w:numPr>
      <w:spacing w:after="0" w:line="240" w:lineRule="auto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customStyle="1" w:styleId="SubtitleChar">
    <w:name w:val="Subtitle Char"/>
    <w:basedOn w:val="DefaultParagraphFont"/>
    <w:link w:val="Subtitle"/>
    <w:uiPriority w:val="11"/>
    <w:rsid w:val="00BE2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CO" w:eastAsia="es-CO"/>
    </w:rPr>
  </w:style>
  <w:style w:type="character" w:styleId="Hyperlink">
    <w:name w:val="Hyperlink"/>
    <w:basedOn w:val="DefaultParagraphFont"/>
    <w:uiPriority w:val="99"/>
    <w:unhideWhenUsed/>
    <w:rsid w:val="003334E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4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4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4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10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258FD0-959F-4E90-B562-BA8AEDFC4B94}" type="doc">
      <dgm:prSet loTypeId="urn:microsoft.com/office/officeart/2005/8/layout/bProcess3" loCatId="process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s-CO"/>
        </a:p>
      </dgm:t>
    </dgm:pt>
    <dgm:pt modelId="{8E3EA72D-35EC-45A6-BA74-C9661366FE68}">
      <dgm:prSet phldrT="[Texto]"/>
      <dgm:spPr/>
      <dgm:t>
        <a:bodyPr/>
        <a:lstStyle/>
        <a:p>
          <a:r>
            <a:rPr lang="es-ES"/>
            <a:t>Ubicación de la fábrica, infraestructura</a:t>
          </a:r>
          <a:endParaRPr lang="es-CO"/>
        </a:p>
      </dgm:t>
    </dgm:pt>
    <dgm:pt modelId="{78F57423-1E2A-44FE-A326-42CE4FF26AA0}" type="parTrans" cxnId="{34A2C7E1-0210-4894-B4AA-E86401D3944A}">
      <dgm:prSet/>
      <dgm:spPr/>
      <dgm:t>
        <a:bodyPr/>
        <a:lstStyle/>
        <a:p>
          <a:endParaRPr lang="es-CO"/>
        </a:p>
      </dgm:t>
    </dgm:pt>
    <dgm:pt modelId="{EA038A4F-7DA3-4AEB-89DA-3F7CA3020E83}" type="sibTrans" cxnId="{34A2C7E1-0210-4894-B4AA-E86401D3944A}">
      <dgm:prSet/>
      <dgm:spPr/>
      <dgm:t>
        <a:bodyPr/>
        <a:lstStyle/>
        <a:p>
          <a:endParaRPr lang="es-CO"/>
        </a:p>
      </dgm:t>
    </dgm:pt>
    <dgm:pt modelId="{D4BCB586-E32E-4850-B02E-CC17AC0AA3D3}">
      <dgm:prSet phldrT="[Texto]"/>
      <dgm:spPr/>
      <dgm:t>
        <a:bodyPr/>
        <a:lstStyle/>
        <a:p>
          <a:r>
            <a:rPr lang="es-ES"/>
            <a:t>Proveedor</a:t>
          </a:r>
          <a:endParaRPr lang="es-CO"/>
        </a:p>
      </dgm:t>
    </dgm:pt>
    <dgm:pt modelId="{EE54EE04-B2CE-433E-A128-8ACCDB699108}" type="parTrans" cxnId="{8E28BDF3-05A8-4CF6-BFB4-2A75AC76C478}">
      <dgm:prSet/>
      <dgm:spPr/>
      <dgm:t>
        <a:bodyPr/>
        <a:lstStyle/>
        <a:p>
          <a:endParaRPr lang="es-CO"/>
        </a:p>
      </dgm:t>
    </dgm:pt>
    <dgm:pt modelId="{195207B5-E58D-4D89-8C31-26DAA1F81F04}" type="sibTrans" cxnId="{8E28BDF3-05A8-4CF6-BFB4-2A75AC76C478}">
      <dgm:prSet/>
      <dgm:spPr/>
      <dgm:t>
        <a:bodyPr/>
        <a:lstStyle/>
        <a:p>
          <a:endParaRPr lang="es-CO"/>
        </a:p>
      </dgm:t>
    </dgm:pt>
    <dgm:pt modelId="{BC4CEE72-F19C-42E1-A37D-2C9A4D03880B}">
      <dgm:prSet phldrT="[Texto]"/>
      <dgm:spPr/>
      <dgm:t>
        <a:bodyPr/>
        <a:lstStyle/>
        <a:p>
          <a:r>
            <a:rPr lang="es-ES"/>
            <a:t>Fabricación</a:t>
          </a:r>
          <a:endParaRPr lang="es-CO"/>
        </a:p>
      </dgm:t>
    </dgm:pt>
    <dgm:pt modelId="{70D5E682-C676-4BFA-BBA1-380AFA9007E8}" type="parTrans" cxnId="{CCA12ACB-7FC6-4731-8B81-31BD89CDB0C2}">
      <dgm:prSet/>
      <dgm:spPr/>
      <dgm:t>
        <a:bodyPr/>
        <a:lstStyle/>
        <a:p>
          <a:endParaRPr lang="es-CO"/>
        </a:p>
      </dgm:t>
    </dgm:pt>
    <dgm:pt modelId="{31557370-0A0E-4777-A649-0AE3111F8BDC}" type="sibTrans" cxnId="{CCA12ACB-7FC6-4731-8B81-31BD89CDB0C2}">
      <dgm:prSet/>
      <dgm:spPr/>
      <dgm:t>
        <a:bodyPr/>
        <a:lstStyle/>
        <a:p>
          <a:endParaRPr lang="es-CO"/>
        </a:p>
      </dgm:t>
    </dgm:pt>
    <dgm:pt modelId="{D24FC57A-A69F-4D6C-A641-D7A965C3B3FA}">
      <dgm:prSet phldrT="[Texto]"/>
      <dgm:spPr/>
      <dgm:t>
        <a:bodyPr/>
        <a:lstStyle/>
        <a:p>
          <a:r>
            <a:rPr lang="es-ES"/>
            <a:t>Distribución</a:t>
          </a:r>
          <a:endParaRPr lang="es-CO"/>
        </a:p>
      </dgm:t>
    </dgm:pt>
    <dgm:pt modelId="{1D4FC9C0-95F8-4107-BA6D-2CC5CCD23F0B}" type="parTrans" cxnId="{3D1C79F3-D808-4316-A357-6A9112E5713E}">
      <dgm:prSet/>
      <dgm:spPr/>
      <dgm:t>
        <a:bodyPr/>
        <a:lstStyle/>
        <a:p>
          <a:endParaRPr lang="es-CO"/>
        </a:p>
      </dgm:t>
    </dgm:pt>
    <dgm:pt modelId="{8E6334CF-E7D6-4C17-831E-2A70F0B38A46}" type="sibTrans" cxnId="{3D1C79F3-D808-4316-A357-6A9112E5713E}">
      <dgm:prSet/>
      <dgm:spPr/>
      <dgm:t>
        <a:bodyPr/>
        <a:lstStyle/>
        <a:p>
          <a:endParaRPr lang="es-CO"/>
        </a:p>
      </dgm:t>
    </dgm:pt>
    <dgm:pt modelId="{75CA6ADB-47EE-4C2E-A7A9-0916FF423CA1}">
      <dgm:prSet phldrT="[Texto]"/>
      <dgm:spPr/>
      <dgm:t>
        <a:bodyPr/>
        <a:lstStyle/>
        <a:p>
          <a:r>
            <a:rPr lang="es-ES"/>
            <a:t>Plan de integración de cadenas de suministro</a:t>
          </a:r>
          <a:endParaRPr lang="es-CO"/>
        </a:p>
      </dgm:t>
    </dgm:pt>
    <dgm:pt modelId="{D0B1F00B-349C-4C31-97DD-950A4C14AC4D}" type="parTrans" cxnId="{A0156D60-A032-4BEA-8C73-DF80115D16F6}">
      <dgm:prSet/>
      <dgm:spPr/>
      <dgm:t>
        <a:bodyPr/>
        <a:lstStyle/>
        <a:p>
          <a:endParaRPr lang="es-CO"/>
        </a:p>
      </dgm:t>
    </dgm:pt>
    <dgm:pt modelId="{21F09CAD-F942-483F-965C-1DB2AB24EC21}" type="sibTrans" cxnId="{A0156D60-A032-4BEA-8C73-DF80115D16F6}">
      <dgm:prSet/>
      <dgm:spPr/>
      <dgm:t>
        <a:bodyPr/>
        <a:lstStyle/>
        <a:p>
          <a:endParaRPr lang="es-CO"/>
        </a:p>
      </dgm:t>
    </dgm:pt>
    <dgm:pt modelId="{A0913614-E8E7-4054-88E5-1DC445C56E7B}">
      <dgm:prSet/>
      <dgm:spPr/>
      <dgm:t>
        <a:bodyPr/>
        <a:lstStyle/>
        <a:p>
          <a:r>
            <a:rPr lang="es-ES"/>
            <a:t>Estrategia para optimizar los recursos y reducir costos</a:t>
          </a:r>
          <a:endParaRPr lang="es-CO"/>
        </a:p>
      </dgm:t>
    </dgm:pt>
    <dgm:pt modelId="{204AFBAC-7FE2-4B0B-A3ED-222A2D06AB9A}" type="parTrans" cxnId="{905817F2-A06C-48A4-BE86-A5F47028F5C3}">
      <dgm:prSet/>
      <dgm:spPr/>
      <dgm:t>
        <a:bodyPr/>
        <a:lstStyle/>
        <a:p>
          <a:endParaRPr lang="es-CO"/>
        </a:p>
      </dgm:t>
    </dgm:pt>
    <dgm:pt modelId="{F93F9486-9533-49E2-AB76-05C74B1A83FC}" type="sibTrans" cxnId="{905817F2-A06C-48A4-BE86-A5F47028F5C3}">
      <dgm:prSet/>
      <dgm:spPr/>
      <dgm:t>
        <a:bodyPr/>
        <a:lstStyle/>
        <a:p>
          <a:endParaRPr lang="es-CO"/>
        </a:p>
      </dgm:t>
    </dgm:pt>
    <dgm:pt modelId="{80CF4DD7-6ECF-4D9B-8575-26CB1B2EFB33}" type="pres">
      <dgm:prSet presAssocID="{D0258FD0-959F-4E90-B562-BA8AEDFC4B94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7DF6042D-7431-4C79-BE17-34A7479F6B6C}" type="pres">
      <dgm:prSet presAssocID="{8E3EA72D-35EC-45A6-BA74-C9661366FE6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CCF3B9A-E458-448C-A09B-C8208489764D}" type="pres">
      <dgm:prSet presAssocID="{EA038A4F-7DA3-4AEB-89DA-3F7CA3020E83}" presName="sibTrans" presStyleLbl="sibTrans1D1" presStyleIdx="0" presStyleCnt="5"/>
      <dgm:spPr/>
      <dgm:t>
        <a:bodyPr/>
        <a:lstStyle/>
        <a:p>
          <a:endParaRPr lang="en-US"/>
        </a:p>
      </dgm:t>
    </dgm:pt>
    <dgm:pt modelId="{B08E5662-35CC-4171-94F9-3C8BAF6F73F7}" type="pres">
      <dgm:prSet presAssocID="{EA038A4F-7DA3-4AEB-89DA-3F7CA3020E83}" presName="connectorText" presStyleLbl="sibTrans1D1" presStyleIdx="0" presStyleCnt="5"/>
      <dgm:spPr/>
      <dgm:t>
        <a:bodyPr/>
        <a:lstStyle/>
        <a:p>
          <a:endParaRPr lang="en-US"/>
        </a:p>
      </dgm:t>
    </dgm:pt>
    <dgm:pt modelId="{EE0577C0-6FB0-4B24-81EB-02DB10F82C7C}" type="pres">
      <dgm:prSet presAssocID="{D4BCB586-E32E-4850-B02E-CC17AC0AA3D3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A88D597-E2B9-4366-AB8D-8E3CE4F10C2C}" type="pres">
      <dgm:prSet presAssocID="{195207B5-E58D-4D89-8C31-26DAA1F81F04}" presName="sibTrans" presStyleLbl="sibTrans1D1" presStyleIdx="1" presStyleCnt="5"/>
      <dgm:spPr/>
      <dgm:t>
        <a:bodyPr/>
        <a:lstStyle/>
        <a:p>
          <a:endParaRPr lang="en-US"/>
        </a:p>
      </dgm:t>
    </dgm:pt>
    <dgm:pt modelId="{5034A6A8-55AD-403C-8BCC-85F1F1F5C7DA}" type="pres">
      <dgm:prSet presAssocID="{195207B5-E58D-4D89-8C31-26DAA1F81F04}" presName="connectorText" presStyleLbl="sibTrans1D1" presStyleIdx="1" presStyleCnt="5"/>
      <dgm:spPr/>
      <dgm:t>
        <a:bodyPr/>
        <a:lstStyle/>
        <a:p>
          <a:endParaRPr lang="en-US"/>
        </a:p>
      </dgm:t>
    </dgm:pt>
    <dgm:pt modelId="{92B993D5-04BB-477F-9CC7-BC855DFF9E94}" type="pres">
      <dgm:prSet presAssocID="{BC4CEE72-F19C-42E1-A37D-2C9A4D03880B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C94AE72-1AD0-40CD-8FF8-E590DCBFCCCA}" type="pres">
      <dgm:prSet presAssocID="{31557370-0A0E-4777-A649-0AE3111F8BDC}" presName="sibTrans" presStyleLbl="sibTrans1D1" presStyleIdx="2" presStyleCnt="5"/>
      <dgm:spPr/>
      <dgm:t>
        <a:bodyPr/>
        <a:lstStyle/>
        <a:p>
          <a:endParaRPr lang="en-US"/>
        </a:p>
      </dgm:t>
    </dgm:pt>
    <dgm:pt modelId="{85FB77EB-6AB8-49ED-9120-9B90DD4C6D7F}" type="pres">
      <dgm:prSet presAssocID="{31557370-0A0E-4777-A649-0AE3111F8BDC}" presName="connectorText" presStyleLbl="sibTrans1D1" presStyleIdx="2" presStyleCnt="5"/>
      <dgm:spPr/>
      <dgm:t>
        <a:bodyPr/>
        <a:lstStyle/>
        <a:p>
          <a:endParaRPr lang="en-US"/>
        </a:p>
      </dgm:t>
    </dgm:pt>
    <dgm:pt modelId="{870512A4-E39D-4F4C-B268-D23D3B4AFBA0}" type="pres">
      <dgm:prSet presAssocID="{D24FC57A-A69F-4D6C-A641-D7A965C3B3FA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017659F-DDCE-47E1-BB06-E4B1A540E073}" type="pres">
      <dgm:prSet presAssocID="{8E6334CF-E7D6-4C17-831E-2A70F0B38A46}" presName="sibTrans" presStyleLbl="sibTrans1D1" presStyleIdx="3" presStyleCnt="5"/>
      <dgm:spPr/>
      <dgm:t>
        <a:bodyPr/>
        <a:lstStyle/>
        <a:p>
          <a:endParaRPr lang="en-US"/>
        </a:p>
      </dgm:t>
    </dgm:pt>
    <dgm:pt modelId="{2AE940F6-0EB5-427A-B38A-B43084C9E282}" type="pres">
      <dgm:prSet presAssocID="{8E6334CF-E7D6-4C17-831E-2A70F0B38A46}" presName="connectorText" presStyleLbl="sibTrans1D1" presStyleIdx="3" presStyleCnt="5"/>
      <dgm:spPr/>
      <dgm:t>
        <a:bodyPr/>
        <a:lstStyle/>
        <a:p>
          <a:endParaRPr lang="en-US"/>
        </a:p>
      </dgm:t>
    </dgm:pt>
    <dgm:pt modelId="{B1B6647D-8F53-476C-A111-968AB7D51DCE}" type="pres">
      <dgm:prSet presAssocID="{75CA6ADB-47EE-4C2E-A7A9-0916FF423CA1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352F48AD-DC92-42D9-94CC-06216444493D}" type="pres">
      <dgm:prSet presAssocID="{21F09CAD-F942-483F-965C-1DB2AB24EC21}" presName="sibTrans" presStyleLbl="sibTrans1D1" presStyleIdx="4" presStyleCnt="5"/>
      <dgm:spPr/>
      <dgm:t>
        <a:bodyPr/>
        <a:lstStyle/>
        <a:p>
          <a:endParaRPr lang="en-US"/>
        </a:p>
      </dgm:t>
    </dgm:pt>
    <dgm:pt modelId="{D2DAA032-70CF-4ACD-BCB3-E5C6E899D556}" type="pres">
      <dgm:prSet presAssocID="{21F09CAD-F942-483F-965C-1DB2AB24EC21}" presName="connectorText" presStyleLbl="sibTrans1D1" presStyleIdx="4" presStyleCnt="5"/>
      <dgm:spPr/>
      <dgm:t>
        <a:bodyPr/>
        <a:lstStyle/>
        <a:p>
          <a:endParaRPr lang="en-US"/>
        </a:p>
      </dgm:t>
    </dgm:pt>
    <dgm:pt modelId="{B5201F9D-B225-4DAA-B0FF-8FAE9F2572E9}" type="pres">
      <dgm:prSet presAssocID="{A0913614-E8E7-4054-88E5-1DC445C56E7B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3C51DD79-0967-4E09-9134-EEE735799813}" type="presOf" srcId="{BC4CEE72-F19C-42E1-A37D-2C9A4D03880B}" destId="{92B993D5-04BB-477F-9CC7-BC855DFF9E94}" srcOrd="0" destOrd="0" presId="urn:microsoft.com/office/officeart/2005/8/layout/bProcess3"/>
    <dgm:cxn modelId="{7C897F37-0D22-4004-BA6B-21AD593F1122}" type="presOf" srcId="{31557370-0A0E-4777-A649-0AE3111F8BDC}" destId="{2C94AE72-1AD0-40CD-8FF8-E590DCBFCCCA}" srcOrd="0" destOrd="0" presId="urn:microsoft.com/office/officeart/2005/8/layout/bProcess3"/>
    <dgm:cxn modelId="{B3DF5F97-8644-448B-AE9A-ED536AF64839}" type="presOf" srcId="{8E3EA72D-35EC-45A6-BA74-C9661366FE68}" destId="{7DF6042D-7431-4C79-BE17-34A7479F6B6C}" srcOrd="0" destOrd="0" presId="urn:microsoft.com/office/officeart/2005/8/layout/bProcess3"/>
    <dgm:cxn modelId="{8E28BDF3-05A8-4CF6-BFB4-2A75AC76C478}" srcId="{D0258FD0-959F-4E90-B562-BA8AEDFC4B94}" destId="{D4BCB586-E32E-4850-B02E-CC17AC0AA3D3}" srcOrd="1" destOrd="0" parTransId="{EE54EE04-B2CE-433E-A128-8ACCDB699108}" sibTransId="{195207B5-E58D-4D89-8C31-26DAA1F81F04}"/>
    <dgm:cxn modelId="{905817F2-A06C-48A4-BE86-A5F47028F5C3}" srcId="{D0258FD0-959F-4E90-B562-BA8AEDFC4B94}" destId="{A0913614-E8E7-4054-88E5-1DC445C56E7B}" srcOrd="5" destOrd="0" parTransId="{204AFBAC-7FE2-4B0B-A3ED-222A2D06AB9A}" sibTransId="{F93F9486-9533-49E2-AB76-05C74B1A83FC}"/>
    <dgm:cxn modelId="{3D317E01-1348-4D9C-ACD0-FC159DC0A7CC}" type="presOf" srcId="{21F09CAD-F942-483F-965C-1DB2AB24EC21}" destId="{352F48AD-DC92-42D9-94CC-06216444493D}" srcOrd="0" destOrd="0" presId="urn:microsoft.com/office/officeart/2005/8/layout/bProcess3"/>
    <dgm:cxn modelId="{E0790B52-81D6-4E19-BE9A-7311F3E9F957}" type="presOf" srcId="{EA038A4F-7DA3-4AEB-89DA-3F7CA3020E83}" destId="{ECCF3B9A-E458-448C-A09B-C8208489764D}" srcOrd="0" destOrd="0" presId="urn:microsoft.com/office/officeart/2005/8/layout/bProcess3"/>
    <dgm:cxn modelId="{DEE7B171-B5DB-4F59-AA4C-972BF3734C0D}" type="presOf" srcId="{D4BCB586-E32E-4850-B02E-CC17AC0AA3D3}" destId="{EE0577C0-6FB0-4B24-81EB-02DB10F82C7C}" srcOrd="0" destOrd="0" presId="urn:microsoft.com/office/officeart/2005/8/layout/bProcess3"/>
    <dgm:cxn modelId="{2E056EE5-67A6-4002-A1E6-8894A6E5A7DF}" type="presOf" srcId="{195207B5-E58D-4D89-8C31-26DAA1F81F04}" destId="{5034A6A8-55AD-403C-8BCC-85F1F1F5C7DA}" srcOrd="1" destOrd="0" presId="urn:microsoft.com/office/officeart/2005/8/layout/bProcess3"/>
    <dgm:cxn modelId="{3D8B6546-80AB-4741-8E64-6A74C0C251CD}" type="presOf" srcId="{21F09CAD-F942-483F-965C-1DB2AB24EC21}" destId="{D2DAA032-70CF-4ACD-BCB3-E5C6E899D556}" srcOrd="1" destOrd="0" presId="urn:microsoft.com/office/officeart/2005/8/layout/bProcess3"/>
    <dgm:cxn modelId="{9A1DC218-1781-4A55-8BC9-C0F8EB474176}" type="presOf" srcId="{75CA6ADB-47EE-4C2E-A7A9-0916FF423CA1}" destId="{B1B6647D-8F53-476C-A111-968AB7D51DCE}" srcOrd="0" destOrd="0" presId="urn:microsoft.com/office/officeart/2005/8/layout/bProcess3"/>
    <dgm:cxn modelId="{517F0BEF-17D0-440A-9208-14CCD43FE5C9}" type="presOf" srcId="{8E6334CF-E7D6-4C17-831E-2A70F0B38A46}" destId="{E017659F-DDCE-47E1-BB06-E4B1A540E073}" srcOrd="0" destOrd="0" presId="urn:microsoft.com/office/officeart/2005/8/layout/bProcess3"/>
    <dgm:cxn modelId="{E8967862-1E3C-433D-882C-FBD33248165B}" type="presOf" srcId="{8E6334CF-E7D6-4C17-831E-2A70F0B38A46}" destId="{2AE940F6-0EB5-427A-B38A-B43084C9E282}" srcOrd="1" destOrd="0" presId="urn:microsoft.com/office/officeart/2005/8/layout/bProcess3"/>
    <dgm:cxn modelId="{99210CF9-BE09-4310-BC4D-FEB1C722EE6B}" type="presOf" srcId="{195207B5-E58D-4D89-8C31-26DAA1F81F04}" destId="{DA88D597-E2B9-4366-AB8D-8E3CE4F10C2C}" srcOrd="0" destOrd="0" presId="urn:microsoft.com/office/officeart/2005/8/layout/bProcess3"/>
    <dgm:cxn modelId="{F1B61778-FC5B-4CBB-A957-F7256D8035A2}" type="presOf" srcId="{EA038A4F-7DA3-4AEB-89DA-3F7CA3020E83}" destId="{B08E5662-35CC-4171-94F9-3C8BAF6F73F7}" srcOrd="1" destOrd="0" presId="urn:microsoft.com/office/officeart/2005/8/layout/bProcess3"/>
    <dgm:cxn modelId="{EC16F94B-86BE-4FF4-9B4D-CFAF195EBBAF}" type="presOf" srcId="{D24FC57A-A69F-4D6C-A641-D7A965C3B3FA}" destId="{870512A4-E39D-4F4C-B268-D23D3B4AFBA0}" srcOrd="0" destOrd="0" presId="urn:microsoft.com/office/officeart/2005/8/layout/bProcess3"/>
    <dgm:cxn modelId="{A0156D60-A032-4BEA-8C73-DF80115D16F6}" srcId="{D0258FD0-959F-4E90-B562-BA8AEDFC4B94}" destId="{75CA6ADB-47EE-4C2E-A7A9-0916FF423CA1}" srcOrd="4" destOrd="0" parTransId="{D0B1F00B-349C-4C31-97DD-950A4C14AC4D}" sibTransId="{21F09CAD-F942-483F-965C-1DB2AB24EC21}"/>
    <dgm:cxn modelId="{2F36DBFF-0C99-4606-9AE4-74C0513C1949}" type="presOf" srcId="{A0913614-E8E7-4054-88E5-1DC445C56E7B}" destId="{B5201F9D-B225-4DAA-B0FF-8FAE9F2572E9}" srcOrd="0" destOrd="0" presId="urn:microsoft.com/office/officeart/2005/8/layout/bProcess3"/>
    <dgm:cxn modelId="{6E9A52E2-8C38-4603-9530-6DD7FD7FED64}" type="presOf" srcId="{D0258FD0-959F-4E90-B562-BA8AEDFC4B94}" destId="{80CF4DD7-6ECF-4D9B-8575-26CB1B2EFB33}" srcOrd="0" destOrd="0" presId="urn:microsoft.com/office/officeart/2005/8/layout/bProcess3"/>
    <dgm:cxn modelId="{9A797EE9-AFBB-40D4-9C39-198DF252B118}" type="presOf" srcId="{31557370-0A0E-4777-A649-0AE3111F8BDC}" destId="{85FB77EB-6AB8-49ED-9120-9B90DD4C6D7F}" srcOrd="1" destOrd="0" presId="urn:microsoft.com/office/officeart/2005/8/layout/bProcess3"/>
    <dgm:cxn modelId="{CCA12ACB-7FC6-4731-8B81-31BD89CDB0C2}" srcId="{D0258FD0-959F-4E90-B562-BA8AEDFC4B94}" destId="{BC4CEE72-F19C-42E1-A37D-2C9A4D03880B}" srcOrd="2" destOrd="0" parTransId="{70D5E682-C676-4BFA-BBA1-380AFA9007E8}" sibTransId="{31557370-0A0E-4777-A649-0AE3111F8BDC}"/>
    <dgm:cxn modelId="{34A2C7E1-0210-4894-B4AA-E86401D3944A}" srcId="{D0258FD0-959F-4E90-B562-BA8AEDFC4B94}" destId="{8E3EA72D-35EC-45A6-BA74-C9661366FE68}" srcOrd="0" destOrd="0" parTransId="{78F57423-1E2A-44FE-A326-42CE4FF26AA0}" sibTransId="{EA038A4F-7DA3-4AEB-89DA-3F7CA3020E83}"/>
    <dgm:cxn modelId="{3D1C79F3-D808-4316-A357-6A9112E5713E}" srcId="{D0258FD0-959F-4E90-B562-BA8AEDFC4B94}" destId="{D24FC57A-A69F-4D6C-A641-D7A965C3B3FA}" srcOrd="3" destOrd="0" parTransId="{1D4FC9C0-95F8-4107-BA6D-2CC5CCD23F0B}" sibTransId="{8E6334CF-E7D6-4C17-831E-2A70F0B38A46}"/>
    <dgm:cxn modelId="{EF6C60E9-5A31-44D2-A16F-13CF25B18889}" type="presParOf" srcId="{80CF4DD7-6ECF-4D9B-8575-26CB1B2EFB33}" destId="{7DF6042D-7431-4C79-BE17-34A7479F6B6C}" srcOrd="0" destOrd="0" presId="urn:microsoft.com/office/officeart/2005/8/layout/bProcess3"/>
    <dgm:cxn modelId="{B85A5D0C-5D06-4209-BC8E-56BA7351E8DC}" type="presParOf" srcId="{80CF4DD7-6ECF-4D9B-8575-26CB1B2EFB33}" destId="{ECCF3B9A-E458-448C-A09B-C8208489764D}" srcOrd="1" destOrd="0" presId="urn:microsoft.com/office/officeart/2005/8/layout/bProcess3"/>
    <dgm:cxn modelId="{19C6AB15-271B-4ABA-847D-7F755C8F50C8}" type="presParOf" srcId="{ECCF3B9A-E458-448C-A09B-C8208489764D}" destId="{B08E5662-35CC-4171-94F9-3C8BAF6F73F7}" srcOrd="0" destOrd="0" presId="urn:microsoft.com/office/officeart/2005/8/layout/bProcess3"/>
    <dgm:cxn modelId="{0D0CD508-A563-4A88-9318-B781A570AB5A}" type="presParOf" srcId="{80CF4DD7-6ECF-4D9B-8575-26CB1B2EFB33}" destId="{EE0577C0-6FB0-4B24-81EB-02DB10F82C7C}" srcOrd="2" destOrd="0" presId="urn:microsoft.com/office/officeart/2005/8/layout/bProcess3"/>
    <dgm:cxn modelId="{EE9C8366-6754-4245-A94A-99850ACA547D}" type="presParOf" srcId="{80CF4DD7-6ECF-4D9B-8575-26CB1B2EFB33}" destId="{DA88D597-E2B9-4366-AB8D-8E3CE4F10C2C}" srcOrd="3" destOrd="0" presId="urn:microsoft.com/office/officeart/2005/8/layout/bProcess3"/>
    <dgm:cxn modelId="{3C16950B-C748-497B-8AAE-9375D1B1D6FC}" type="presParOf" srcId="{DA88D597-E2B9-4366-AB8D-8E3CE4F10C2C}" destId="{5034A6A8-55AD-403C-8BCC-85F1F1F5C7DA}" srcOrd="0" destOrd="0" presId="urn:microsoft.com/office/officeart/2005/8/layout/bProcess3"/>
    <dgm:cxn modelId="{9256D35C-8DA6-4B0B-8837-546F085EBA64}" type="presParOf" srcId="{80CF4DD7-6ECF-4D9B-8575-26CB1B2EFB33}" destId="{92B993D5-04BB-477F-9CC7-BC855DFF9E94}" srcOrd="4" destOrd="0" presId="urn:microsoft.com/office/officeart/2005/8/layout/bProcess3"/>
    <dgm:cxn modelId="{F611B0D8-82BA-4A14-996D-244090E19192}" type="presParOf" srcId="{80CF4DD7-6ECF-4D9B-8575-26CB1B2EFB33}" destId="{2C94AE72-1AD0-40CD-8FF8-E590DCBFCCCA}" srcOrd="5" destOrd="0" presId="urn:microsoft.com/office/officeart/2005/8/layout/bProcess3"/>
    <dgm:cxn modelId="{58379CCC-FA96-4193-8B5A-1CB47DAB1770}" type="presParOf" srcId="{2C94AE72-1AD0-40CD-8FF8-E590DCBFCCCA}" destId="{85FB77EB-6AB8-49ED-9120-9B90DD4C6D7F}" srcOrd="0" destOrd="0" presId="urn:microsoft.com/office/officeart/2005/8/layout/bProcess3"/>
    <dgm:cxn modelId="{02194721-23FA-481A-A77C-B50B69C1B674}" type="presParOf" srcId="{80CF4DD7-6ECF-4D9B-8575-26CB1B2EFB33}" destId="{870512A4-E39D-4F4C-B268-D23D3B4AFBA0}" srcOrd="6" destOrd="0" presId="urn:microsoft.com/office/officeart/2005/8/layout/bProcess3"/>
    <dgm:cxn modelId="{A65A19E3-469A-4CC5-80B7-DB728A00FDE0}" type="presParOf" srcId="{80CF4DD7-6ECF-4D9B-8575-26CB1B2EFB33}" destId="{E017659F-DDCE-47E1-BB06-E4B1A540E073}" srcOrd="7" destOrd="0" presId="urn:microsoft.com/office/officeart/2005/8/layout/bProcess3"/>
    <dgm:cxn modelId="{3D0998AC-F37A-4166-996A-28BBD1AB561F}" type="presParOf" srcId="{E017659F-DDCE-47E1-BB06-E4B1A540E073}" destId="{2AE940F6-0EB5-427A-B38A-B43084C9E282}" srcOrd="0" destOrd="0" presId="urn:microsoft.com/office/officeart/2005/8/layout/bProcess3"/>
    <dgm:cxn modelId="{3C382F4F-AD81-48E7-B786-EB264783EA8E}" type="presParOf" srcId="{80CF4DD7-6ECF-4D9B-8575-26CB1B2EFB33}" destId="{B1B6647D-8F53-476C-A111-968AB7D51DCE}" srcOrd="8" destOrd="0" presId="urn:microsoft.com/office/officeart/2005/8/layout/bProcess3"/>
    <dgm:cxn modelId="{70766C83-C431-4B28-81E7-5E14ABB0FD3E}" type="presParOf" srcId="{80CF4DD7-6ECF-4D9B-8575-26CB1B2EFB33}" destId="{352F48AD-DC92-42D9-94CC-06216444493D}" srcOrd="9" destOrd="0" presId="urn:microsoft.com/office/officeart/2005/8/layout/bProcess3"/>
    <dgm:cxn modelId="{E4ABA2D2-A1F9-47F4-AB60-5E5D3B7EFDEC}" type="presParOf" srcId="{352F48AD-DC92-42D9-94CC-06216444493D}" destId="{D2DAA032-70CF-4ACD-BCB3-E5C6E899D556}" srcOrd="0" destOrd="0" presId="urn:microsoft.com/office/officeart/2005/8/layout/bProcess3"/>
    <dgm:cxn modelId="{02A7E047-108B-4E51-BAD1-F2DF975BF99C}" type="presParOf" srcId="{80CF4DD7-6ECF-4D9B-8575-26CB1B2EFB33}" destId="{B5201F9D-B225-4DAA-B0FF-8FAE9F2572E9}" srcOrd="10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CF3B9A-E458-448C-A09B-C8208489764D}">
      <dsp:nvSpPr>
        <dsp:cNvPr id="0" name=""/>
        <dsp:cNvSpPr/>
      </dsp:nvSpPr>
      <dsp:spPr>
        <a:xfrm>
          <a:off x="1560652" y="639810"/>
          <a:ext cx="327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11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1715597" y="683738"/>
        <a:ext cx="17920" cy="3584"/>
      </dsp:txXfrm>
    </dsp:sp>
    <dsp:sp modelId="{7DF6042D-7431-4C79-BE17-34A7479F6B6C}">
      <dsp:nvSpPr>
        <dsp:cNvPr id="0" name=""/>
        <dsp:cNvSpPr/>
      </dsp:nvSpPr>
      <dsp:spPr>
        <a:xfrm>
          <a:off x="4139" y="218036"/>
          <a:ext cx="1558312" cy="93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Ubicación de la fábrica, infraestructura</a:t>
          </a:r>
          <a:endParaRPr lang="es-CO" sz="1300" kern="1200"/>
        </a:p>
      </dsp:txBody>
      <dsp:txXfrm>
        <a:off x="4139" y="218036"/>
        <a:ext cx="1558312" cy="934987"/>
      </dsp:txXfrm>
    </dsp:sp>
    <dsp:sp modelId="{DA88D597-E2B9-4366-AB8D-8E3CE4F10C2C}">
      <dsp:nvSpPr>
        <dsp:cNvPr id="0" name=""/>
        <dsp:cNvSpPr/>
      </dsp:nvSpPr>
      <dsp:spPr>
        <a:xfrm>
          <a:off x="3477376" y="639810"/>
          <a:ext cx="327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11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32321" y="683738"/>
        <a:ext cx="17920" cy="3584"/>
      </dsp:txXfrm>
    </dsp:sp>
    <dsp:sp modelId="{EE0577C0-6FB0-4B24-81EB-02DB10F82C7C}">
      <dsp:nvSpPr>
        <dsp:cNvPr id="0" name=""/>
        <dsp:cNvSpPr/>
      </dsp:nvSpPr>
      <dsp:spPr>
        <a:xfrm>
          <a:off x="1920863" y="218036"/>
          <a:ext cx="1558312" cy="93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Proveedor</a:t>
          </a:r>
          <a:endParaRPr lang="es-CO" sz="1300" kern="1200"/>
        </a:p>
      </dsp:txBody>
      <dsp:txXfrm>
        <a:off x="1920863" y="218036"/>
        <a:ext cx="1558312" cy="934987"/>
      </dsp:txXfrm>
    </dsp:sp>
    <dsp:sp modelId="{2C94AE72-1AD0-40CD-8FF8-E590DCBFCCCA}">
      <dsp:nvSpPr>
        <dsp:cNvPr id="0" name=""/>
        <dsp:cNvSpPr/>
      </dsp:nvSpPr>
      <dsp:spPr>
        <a:xfrm>
          <a:off x="783295" y="1151224"/>
          <a:ext cx="3833448" cy="327811"/>
        </a:xfrm>
        <a:custGeom>
          <a:avLst/>
          <a:gdLst/>
          <a:ahLst/>
          <a:cxnLst/>
          <a:rect l="0" t="0" r="0" b="0"/>
          <a:pathLst>
            <a:path>
              <a:moveTo>
                <a:pt x="3833448" y="0"/>
              </a:moveTo>
              <a:lnTo>
                <a:pt x="3833448" y="181005"/>
              </a:lnTo>
              <a:lnTo>
                <a:pt x="0" y="181005"/>
              </a:lnTo>
              <a:lnTo>
                <a:pt x="0" y="327811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603765" y="1313337"/>
        <a:ext cx="192508" cy="3584"/>
      </dsp:txXfrm>
    </dsp:sp>
    <dsp:sp modelId="{92B993D5-04BB-477F-9CC7-BC855DFF9E94}">
      <dsp:nvSpPr>
        <dsp:cNvPr id="0" name=""/>
        <dsp:cNvSpPr/>
      </dsp:nvSpPr>
      <dsp:spPr>
        <a:xfrm>
          <a:off x="3837587" y="218036"/>
          <a:ext cx="1558312" cy="93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Fabricación</a:t>
          </a:r>
          <a:endParaRPr lang="es-CO" sz="1300" kern="1200"/>
        </a:p>
      </dsp:txBody>
      <dsp:txXfrm>
        <a:off x="3837587" y="218036"/>
        <a:ext cx="1558312" cy="934987"/>
      </dsp:txXfrm>
    </dsp:sp>
    <dsp:sp modelId="{E017659F-DDCE-47E1-BB06-E4B1A540E073}">
      <dsp:nvSpPr>
        <dsp:cNvPr id="0" name=""/>
        <dsp:cNvSpPr/>
      </dsp:nvSpPr>
      <dsp:spPr>
        <a:xfrm>
          <a:off x="1560652" y="1933209"/>
          <a:ext cx="327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11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1715597" y="1977137"/>
        <a:ext cx="17920" cy="3584"/>
      </dsp:txXfrm>
    </dsp:sp>
    <dsp:sp modelId="{870512A4-E39D-4F4C-B268-D23D3B4AFBA0}">
      <dsp:nvSpPr>
        <dsp:cNvPr id="0" name=""/>
        <dsp:cNvSpPr/>
      </dsp:nvSpPr>
      <dsp:spPr>
        <a:xfrm>
          <a:off x="4139" y="1511435"/>
          <a:ext cx="1558312" cy="93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Distribución</a:t>
          </a:r>
          <a:endParaRPr lang="es-CO" sz="1300" kern="1200"/>
        </a:p>
      </dsp:txBody>
      <dsp:txXfrm>
        <a:off x="4139" y="1511435"/>
        <a:ext cx="1558312" cy="934987"/>
      </dsp:txXfrm>
    </dsp:sp>
    <dsp:sp modelId="{352F48AD-DC92-42D9-94CC-06216444493D}">
      <dsp:nvSpPr>
        <dsp:cNvPr id="0" name=""/>
        <dsp:cNvSpPr/>
      </dsp:nvSpPr>
      <dsp:spPr>
        <a:xfrm>
          <a:off x="3477376" y="1933209"/>
          <a:ext cx="327811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7811" y="45720"/>
              </a:lnTo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3632321" y="1977137"/>
        <a:ext cx="17920" cy="3584"/>
      </dsp:txXfrm>
    </dsp:sp>
    <dsp:sp modelId="{B1B6647D-8F53-476C-A111-968AB7D51DCE}">
      <dsp:nvSpPr>
        <dsp:cNvPr id="0" name=""/>
        <dsp:cNvSpPr/>
      </dsp:nvSpPr>
      <dsp:spPr>
        <a:xfrm>
          <a:off x="1920863" y="1511435"/>
          <a:ext cx="1558312" cy="93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Plan de integración de cadenas de suministro</a:t>
          </a:r>
          <a:endParaRPr lang="es-CO" sz="1300" kern="1200"/>
        </a:p>
      </dsp:txBody>
      <dsp:txXfrm>
        <a:off x="1920863" y="1511435"/>
        <a:ext cx="1558312" cy="934987"/>
      </dsp:txXfrm>
    </dsp:sp>
    <dsp:sp modelId="{B5201F9D-B225-4DAA-B0FF-8FAE9F2572E9}">
      <dsp:nvSpPr>
        <dsp:cNvPr id="0" name=""/>
        <dsp:cNvSpPr/>
      </dsp:nvSpPr>
      <dsp:spPr>
        <a:xfrm>
          <a:off x="3837587" y="1511435"/>
          <a:ext cx="1558312" cy="93498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300" kern="1200"/>
            <a:t>Estrategia para optimizar los recursos y reducir costos</a:t>
          </a:r>
          <a:endParaRPr lang="es-CO" sz="1300" kern="1200"/>
        </a:p>
      </dsp:txBody>
      <dsp:txXfrm>
        <a:off x="3837587" y="1511435"/>
        <a:ext cx="1558312" cy="93498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2423</Characters>
  <Application>Microsoft Macintosh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Silvia Blanco</cp:lastModifiedBy>
  <cp:revision>2</cp:revision>
  <dcterms:created xsi:type="dcterms:W3CDTF">2018-11-08T00:22:00Z</dcterms:created>
  <dcterms:modified xsi:type="dcterms:W3CDTF">2018-11-08T00:22:00Z</dcterms:modified>
</cp:coreProperties>
</file>