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18" w:rsidRPr="0084236A" w:rsidRDefault="00076B18" w:rsidP="00076B18">
      <w:pPr>
        <w:jc w:val="center"/>
        <w:rPr>
          <w:b/>
          <w:szCs w:val="24"/>
        </w:rPr>
      </w:pPr>
      <w:r w:rsidRPr="0084236A">
        <w:rPr>
          <w:b/>
          <w:szCs w:val="24"/>
        </w:rPr>
        <w:t>A</w:t>
      </w:r>
      <w:r w:rsidR="00861EA6">
        <w:rPr>
          <w:b/>
          <w:szCs w:val="24"/>
        </w:rPr>
        <w:t>ctividad – Definiciones asociada</w:t>
      </w:r>
      <w:r w:rsidRPr="0084236A">
        <w:rPr>
          <w:b/>
          <w:szCs w:val="24"/>
        </w:rPr>
        <w:t xml:space="preserve">s al </w:t>
      </w:r>
      <w:r w:rsidR="00086E22" w:rsidRPr="0084236A">
        <w:rPr>
          <w:b/>
          <w:szCs w:val="24"/>
        </w:rPr>
        <w:t>S</w:t>
      </w:r>
      <w:r w:rsidRPr="0084236A">
        <w:rPr>
          <w:b/>
          <w:szCs w:val="24"/>
        </w:rPr>
        <w:t>istema de Gestión Ambiental</w:t>
      </w:r>
    </w:p>
    <w:p w:rsidR="00086E22" w:rsidRPr="0084236A" w:rsidRDefault="00086E22" w:rsidP="00086E22">
      <w:pPr>
        <w:jc w:val="center"/>
        <w:rPr>
          <w:rFonts w:cs="Arial"/>
          <w:b/>
          <w:szCs w:val="24"/>
          <w:lang w:val="es-MX"/>
        </w:rPr>
      </w:pPr>
      <w:r w:rsidRPr="0084236A">
        <w:rPr>
          <w:rFonts w:cs="Arial"/>
          <w:b/>
          <w:szCs w:val="24"/>
          <w:lang w:val="es-MX"/>
        </w:rPr>
        <w:t>Emparejamiento</w:t>
      </w:r>
    </w:p>
    <w:p w:rsidR="00086E22" w:rsidRPr="0084236A" w:rsidRDefault="00086E22" w:rsidP="00086E22">
      <w:pPr>
        <w:jc w:val="center"/>
        <w:rPr>
          <w:rFonts w:cs="Arial"/>
          <w:szCs w:val="24"/>
          <w:lang w:val="es-MX"/>
        </w:rPr>
      </w:pPr>
    </w:p>
    <w:p w:rsidR="00086E22" w:rsidRPr="0084236A" w:rsidRDefault="00086E22" w:rsidP="00086E22">
      <w:pPr>
        <w:outlineLvl w:val="0"/>
        <w:rPr>
          <w:rFonts w:cs="Arial"/>
          <w:szCs w:val="24"/>
          <w:shd w:val="clear" w:color="auto" w:fill="FFFFFF"/>
        </w:rPr>
      </w:pPr>
      <w:r w:rsidRPr="0084236A">
        <w:rPr>
          <w:rFonts w:cs="Arial"/>
          <w:b/>
          <w:kern w:val="36"/>
          <w:szCs w:val="24"/>
        </w:rPr>
        <w:t>Instrucción:</w:t>
      </w:r>
      <w:r w:rsidRPr="0084236A">
        <w:rPr>
          <w:rFonts w:cs="Arial"/>
          <w:kern w:val="36"/>
          <w:szCs w:val="24"/>
        </w:rPr>
        <w:t xml:space="preserve"> realizar actividad de relacionar columnas</w:t>
      </w:r>
      <w:r w:rsidRPr="0084236A">
        <w:rPr>
          <w:rFonts w:cs="Arial"/>
          <w:szCs w:val="24"/>
        </w:rPr>
        <w:t xml:space="preserve"> </w:t>
      </w:r>
      <w:r w:rsidRPr="0084236A">
        <w:rPr>
          <w:rFonts w:cs="Arial"/>
          <w:szCs w:val="24"/>
          <w:shd w:val="clear" w:color="auto" w:fill="FFFFFF"/>
        </w:rPr>
        <w:t xml:space="preserve">(emparejamiento): la primera columna contiene conceptos y la segunda las respectivas definiciones. El estudiante debe relacionar conceptos con definiciones. La tabla muestra la solución, pero se deben poner en desorden para efectos de la actividad. </w:t>
      </w:r>
    </w:p>
    <w:p w:rsidR="00076B18" w:rsidRPr="0084236A" w:rsidRDefault="00076B18">
      <w:pPr>
        <w:rPr>
          <w:szCs w:val="24"/>
        </w:rPr>
      </w:pPr>
    </w:p>
    <w:p w:rsidR="00086E22" w:rsidRPr="0084236A" w:rsidRDefault="00086E22" w:rsidP="00086E22">
      <w:pPr>
        <w:jc w:val="center"/>
        <w:outlineLvl w:val="0"/>
        <w:rPr>
          <w:rFonts w:cs="Arial"/>
          <w:szCs w:val="24"/>
          <w:lang w:val="es-MX"/>
        </w:rPr>
      </w:pPr>
      <w:r w:rsidRPr="0084236A">
        <w:rPr>
          <w:rFonts w:cs="Arial"/>
          <w:color w:val="4472C4" w:themeColor="accent5"/>
          <w:szCs w:val="24"/>
          <w:shd w:val="clear" w:color="auto" w:fill="FFFFFF"/>
        </w:rPr>
        <w:t>Empareje los conceptos de la columna izquierda con las definiciones de la columna derecha:</w:t>
      </w:r>
    </w:p>
    <w:p w:rsidR="00076B18" w:rsidRPr="0084236A" w:rsidRDefault="00076B18" w:rsidP="00076B18">
      <w:pPr>
        <w:autoSpaceDE w:val="0"/>
        <w:autoSpaceDN w:val="0"/>
        <w:adjustRightInd w:val="0"/>
        <w:rPr>
          <w:rFonts w:cs="Arial"/>
          <w:szCs w:val="24"/>
        </w:rPr>
      </w:pPr>
    </w:p>
    <w:p w:rsidR="00076B18" w:rsidRPr="0084236A" w:rsidRDefault="00076B18" w:rsidP="00076B18">
      <w:pPr>
        <w:autoSpaceDE w:val="0"/>
        <w:autoSpaceDN w:val="0"/>
        <w:adjustRightInd w:val="0"/>
        <w:rPr>
          <w:rFonts w:cs="Arial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4678"/>
      </w:tblGrid>
      <w:tr w:rsidR="00086E22" w:rsidRPr="0084236A" w:rsidTr="00086E22">
        <w:trPr>
          <w:jc w:val="center"/>
        </w:trPr>
        <w:tc>
          <w:tcPr>
            <w:tcW w:w="2670" w:type="dxa"/>
            <w:vAlign w:val="center"/>
          </w:tcPr>
          <w:p w:rsidR="00086E22" w:rsidRPr="0084236A" w:rsidRDefault="00086E22" w:rsidP="00D939CE">
            <w:pPr>
              <w:pStyle w:val="NormalWeb"/>
              <w:spacing w:before="0" w:beforeAutospacing="0" w:after="210" w:afterAutospacing="0" w:line="21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CONCEPTO</w:t>
            </w:r>
          </w:p>
        </w:tc>
        <w:tc>
          <w:tcPr>
            <w:tcW w:w="4678" w:type="dxa"/>
            <w:vAlign w:val="center"/>
          </w:tcPr>
          <w:p w:rsidR="00086E22" w:rsidRPr="0084236A" w:rsidRDefault="00086E22" w:rsidP="00D939CE">
            <w:pPr>
              <w:pStyle w:val="NormalWeb"/>
              <w:spacing w:before="0" w:beforeAutospacing="0" w:after="210" w:afterAutospacing="0" w:line="21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DEFINICIÓN</w:t>
            </w:r>
          </w:p>
        </w:tc>
      </w:tr>
      <w:tr w:rsidR="00086E22" w:rsidRPr="0084236A" w:rsidTr="00086E22">
        <w:trPr>
          <w:jc w:val="center"/>
        </w:trPr>
        <w:tc>
          <w:tcPr>
            <w:tcW w:w="2670" w:type="dxa"/>
            <w:vAlign w:val="center"/>
          </w:tcPr>
          <w:p w:rsidR="00086E22" w:rsidRPr="0084236A" w:rsidRDefault="00086E22" w:rsidP="00086E22">
            <w:pPr>
              <w:pStyle w:val="NormalWeb"/>
              <w:spacing w:before="0" w:beforeAutospacing="0" w:after="210" w:afterAutospacing="0" w:line="21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Aspecto ambiental</w:t>
            </w:r>
          </w:p>
        </w:tc>
        <w:tc>
          <w:tcPr>
            <w:tcW w:w="4678" w:type="dxa"/>
          </w:tcPr>
          <w:p w:rsidR="00086E22" w:rsidRPr="00861EA6" w:rsidRDefault="00C76F54" w:rsidP="00861EA6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61EA6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Es todo elemento</w:t>
            </w:r>
            <w:r w:rsidRPr="00861EA6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s-CO"/>
              </w:rPr>
              <w:t xml:space="preserve"> de las actividades, productos o servicios de una organización que interactúa o puede llegar a interactuar con el medio ambiente</w:t>
            </w:r>
            <w:r w:rsidR="00861EA6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. De acuerdo con lo anterior, </w:t>
            </w:r>
            <w:r w:rsidRPr="00861EA6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pueden llegar a causar uno o varios impactos ambientales</w:t>
            </w:r>
            <w:r w:rsidR="00861EA6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.</w:t>
            </w:r>
          </w:p>
        </w:tc>
      </w:tr>
      <w:tr w:rsidR="00086E22" w:rsidRPr="0084236A" w:rsidTr="00086E22">
        <w:trPr>
          <w:jc w:val="center"/>
        </w:trPr>
        <w:tc>
          <w:tcPr>
            <w:tcW w:w="2670" w:type="dxa"/>
            <w:vAlign w:val="center"/>
          </w:tcPr>
          <w:p w:rsidR="00086E22" w:rsidRPr="0084236A" w:rsidRDefault="00086E22" w:rsidP="00C76F54">
            <w:pPr>
              <w:pStyle w:val="NormalWeb"/>
              <w:spacing w:before="0" w:beforeAutospacing="0" w:after="210" w:afterAutospacing="0" w:line="21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Impacto ambiental</w:t>
            </w:r>
          </w:p>
        </w:tc>
        <w:tc>
          <w:tcPr>
            <w:tcW w:w="4678" w:type="dxa"/>
          </w:tcPr>
          <w:p w:rsidR="00086E22" w:rsidRPr="0084236A" w:rsidRDefault="00C76F54" w:rsidP="001778B3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Son</w:t>
            </w: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los efectos y consecuencias de las actividades </w:t>
            </w:r>
            <w:r w:rsidR="001778B3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humanas sobre el medio ambiente.</w:t>
            </w:r>
            <w:r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="001778B3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C</w:t>
            </w:r>
            <w:r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on el fin de determinar este grado de impacto se realiza una evaluación del impacto ambiental, el cual consiste en un protocolo que ayuda a identificar y analizar las consecuencias que pudiesen llegar a ocurrir en el medio donde se encuentra y la sociedad que lo rodea. </w:t>
            </w:r>
          </w:p>
        </w:tc>
      </w:tr>
      <w:tr w:rsidR="00086E22" w:rsidRPr="0084236A" w:rsidTr="00086E22">
        <w:trPr>
          <w:jc w:val="center"/>
        </w:trPr>
        <w:tc>
          <w:tcPr>
            <w:tcW w:w="2670" w:type="dxa"/>
            <w:vAlign w:val="center"/>
          </w:tcPr>
          <w:p w:rsidR="00086E22" w:rsidRPr="0084236A" w:rsidRDefault="00086E22" w:rsidP="00C76F54">
            <w:pPr>
              <w:pStyle w:val="NormalWeb"/>
              <w:spacing w:before="0" w:beforeAutospacing="0" w:after="210" w:afterAutospacing="0" w:line="21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 xml:space="preserve">Producción </w:t>
            </w:r>
            <w:r w:rsidR="002C153E"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más</w:t>
            </w: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 xml:space="preserve"> limpia y ecoeficiencia</w:t>
            </w:r>
          </w:p>
        </w:tc>
        <w:tc>
          <w:tcPr>
            <w:tcW w:w="4678" w:type="dxa"/>
          </w:tcPr>
          <w:p w:rsidR="00086E22" w:rsidRPr="0084236A" w:rsidRDefault="00C76F54" w:rsidP="001778B3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Aplicación continua de una estrategia integrada de prevención ambiental en los procesos, productos y servicios, cuyo fin se enfoca en reducir los riesgos para los seres humanos y el ambiente</w:t>
            </w:r>
            <w:r w:rsidR="001778B3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,</w:t>
            </w:r>
            <w:r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incrementando la competitividad de la empresa y garantizando la viabilidad económica</w:t>
            </w:r>
            <w:r w:rsidR="0088723F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.</w:t>
            </w:r>
          </w:p>
        </w:tc>
      </w:tr>
      <w:tr w:rsidR="00086E22" w:rsidRPr="0084236A" w:rsidTr="00086E22">
        <w:trPr>
          <w:jc w:val="center"/>
        </w:trPr>
        <w:tc>
          <w:tcPr>
            <w:tcW w:w="2670" w:type="dxa"/>
            <w:vAlign w:val="center"/>
          </w:tcPr>
          <w:p w:rsidR="00086E22" w:rsidRPr="0084236A" w:rsidRDefault="00086E22" w:rsidP="00C76F54">
            <w:pPr>
              <w:pStyle w:val="NormalWeb"/>
              <w:spacing w:before="0" w:beforeAutospacing="0" w:after="210" w:afterAutospacing="0" w:line="21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Contaminación</w:t>
            </w:r>
          </w:p>
        </w:tc>
        <w:tc>
          <w:tcPr>
            <w:tcW w:w="4678" w:type="dxa"/>
          </w:tcPr>
          <w:p w:rsidR="00086E22" w:rsidRPr="0084236A" w:rsidRDefault="001778B3" w:rsidP="001778B3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P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resencia de componentes nocivos en el medio ambiente el cual podría provocar perjuicio al ser humano y los seres vivos. </w:t>
            </w:r>
          </w:p>
        </w:tc>
      </w:tr>
      <w:tr w:rsidR="00086E22" w:rsidRPr="0084236A" w:rsidTr="00086E22">
        <w:trPr>
          <w:jc w:val="center"/>
        </w:trPr>
        <w:tc>
          <w:tcPr>
            <w:tcW w:w="2670" w:type="dxa"/>
            <w:vAlign w:val="center"/>
          </w:tcPr>
          <w:p w:rsidR="00086E22" w:rsidRPr="0084236A" w:rsidRDefault="00086E22" w:rsidP="00C76F54">
            <w:pPr>
              <w:pStyle w:val="NormalWeb"/>
              <w:spacing w:before="0" w:beforeAutospacing="0" w:after="210" w:afterAutospacing="0" w:line="21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t>Residuos – vertimientos 3R</w:t>
            </w:r>
          </w:p>
        </w:tc>
        <w:tc>
          <w:tcPr>
            <w:tcW w:w="4678" w:type="dxa"/>
          </w:tcPr>
          <w:p w:rsidR="00086E22" w:rsidRPr="0084236A" w:rsidRDefault="005C0B4A" w:rsidP="005C0B4A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S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on todos los desechos que se producen en las actividades diarias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,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los cuales han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perdido su valor o su utilidad. Los otros se 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lastRenderedPageBreak/>
              <w:t>definen como la descarga final a un cuerpo de agua, alcantarillado o al suelo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, de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elementos, sustancias o compuestos contenidos en un medio líquido.</w:t>
            </w:r>
          </w:p>
        </w:tc>
      </w:tr>
      <w:tr w:rsidR="00086E22" w:rsidRPr="0084236A" w:rsidTr="00086E22">
        <w:trPr>
          <w:jc w:val="center"/>
        </w:trPr>
        <w:tc>
          <w:tcPr>
            <w:tcW w:w="2670" w:type="dxa"/>
            <w:vAlign w:val="center"/>
          </w:tcPr>
          <w:p w:rsidR="00086E22" w:rsidRPr="0084236A" w:rsidRDefault="00086E22" w:rsidP="00C76F54">
            <w:pPr>
              <w:pStyle w:val="NormalWeb"/>
              <w:spacing w:before="0" w:beforeAutospacing="0" w:after="210" w:afterAutospacing="0" w:line="21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 w:rsidRPr="008423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  <w:lastRenderedPageBreak/>
              <w:t>Calentamiento global y huella de carbono</w:t>
            </w:r>
          </w:p>
        </w:tc>
        <w:tc>
          <w:tcPr>
            <w:tcW w:w="4678" w:type="dxa"/>
          </w:tcPr>
          <w:p w:rsidR="00086E22" w:rsidRPr="0084236A" w:rsidRDefault="00602A3F" w:rsidP="00602A3F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E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s la cantidad de emisiones, de gases de efecto invernadero, que produce el ser humano al fabricar un producto o realizar sus actividades diarias, la cual se expresa en toneladas de CO2 emitidas, por otro lado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,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el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otro concepto 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se traduce al proceso en el que los GEI (gases de efecto invernadero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,</w:t>
            </w:r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principalmente CO2), procedente de la quema de combustibles fósiles que se acumulan en la atmosfera y retiene parte del calo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>r</w:t>
            </w:r>
            <w:bookmarkStart w:id="0" w:name="_GoBack"/>
            <w:bookmarkEnd w:id="0"/>
            <w:r w:rsidR="00C76F54" w:rsidRPr="0084236A">
              <w:rPr>
                <w:rFonts w:ascii="Arial" w:hAnsi="Arial" w:cs="Arial"/>
                <w:color w:val="000000" w:themeColor="text1"/>
                <w:sz w:val="24"/>
                <w:szCs w:val="24"/>
                <w:lang w:val="es-CO"/>
              </w:rPr>
              <w:t xml:space="preserve"> que emite la tierra.</w:t>
            </w:r>
          </w:p>
        </w:tc>
      </w:tr>
    </w:tbl>
    <w:p w:rsidR="00076B18" w:rsidRDefault="00076B18">
      <w:pPr>
        <w:rPr>
          <w:szCs w:val="24"/>
        </w:rPr>
      </w:pPr>
    </w:p>
    <w:p w:rsidR="0084236A" w:rsidRDefault="0084236A">
      <w:pPr>
        <w:rPr>
          <w:szCs w:val="24"/>
        </w:rPr>
      </w:pPr>
    </w:p>
    <w:p w:rsidR="0084236A" w:rsidRPr="0020158F" w:rsidRDefault="0084236A" w:rsidP="0084236A">
      <w:pPr>
        <w:rPr>
          <w:rFonts w:cs="Arial"/>
          <w:szCs w:val="24"/>
        </w:rPr>
      </w:pPr>
    </w:p>
    <w:p w:rsidR="0084236A" w:rsidRPr="0020158F" w:rsidRDefault="0084236A" w:rsidP="0084236A">
      <w:pPr>
        <w:rPr>
          <w:rFonts w:cs="Arial"/>
          <w:szCs w:val="24"/>
          <w:lang w:val="es-MX"/>
        </w:rPr>
      </w:pPr>
      <w:r w:rsidRPr="0020158F">
        <w:rPr>
          <w:rFonts w:cs="Arial"/>
          <w:b/>
          <w:szCs w:val="24"/>
          <w:lang w:val="es-MX"/>
        </w:rPr>
        <w:t>Retroalimentación positiva:</w:t>
      </w:r>
      <w:r w:rsidRPr="0020158F">
        <w:rPr>
          <w:rFonts w:cs="Arial"/>
          <w:szCs w:val="24"/>
          <w:lang w:val="es-MX"/>
        </w:rPr>
        <w:t xml:space="preserve"> ¡</w:t>
      </w:r>
      <w:r>
        <w:rPr>
          <w:rFonts w:cs="Arial"/>
          <w:szCs w:val="24"/>
          <w:lang w:val="es-MX"/>
        </w:rPr>
        <w:t>Excelente</w:t>
      </w:r>
      <w:r w:rsidRPr="0020158F">
        <w:rPr>
          <w:rFonts w:cs="Arial"/>
          <w:szCs w:val="24"/>
          <w:lang w:val="es-MX"/>
        </w:rPr>
        <w:t xml:space="preserve">! Ha comprendido los diferentes </w:t>
      </w:r>
      <w:r w:rsidRPr="0084236A">
        <w:rPr>
          <w:rFonts w:cs="Arial"/>
          <w:szCs w:val="24"/>
          <w:lang w:val="es-MX"/>
        </w:rPr>
        <w:t>conceptos asociados al sistema de Gestión Ambiental</w:t>
      </w:r>
      <w:r>
        <w:rPr>
          <w:rFonts w:cs="Arial"/>
          <w:szCs w:val="24"/>
          <w:lang w:val="es-MX"/>
        </w:rPr>
        <w:t xml:space="preserve">. </w:t>
      </w:r>
      <w:r w:rsidRPr="0020158F">
        <w:rPr>
          <w:rFonts w:cs="Arial"/>
          <w:szCs w:val="24"/>
          <w:lang w:val="es-MX"/>
        </w:rPr>
        <w:t xml:space="preserve">Le invitamos a continuar con el estudio de la unidad. </w:t>
      </w:r>
    </w:p>
    <w:p w:rsidR="0084236A" w:rsidRDefault="0084236A" w:rsidP="0084236A">
      <w:pPr>
        <w:rPr>
          <w:rFonts w:cs="Arial"/>
          <w:b/>
          <w:szCs w:val="24"/>
          <w:lang w:val="es-MX"/>
        </w:rPr>
      </w:pPr>
    </w:p>
    <w:p w:rsidR="0084236A" w:rsidRPr="0020158F" w:rsidRDefault="0084236A" w:rsidP="0084236A">
      <w:pPr>
        <w:rPr>
          <w:rFonts w:cs="Arial"/>
          <w:szCs w:val="24"/>
        </w:rPr>
      </w:pPr>
      <w:r w:rsidRPr="0020158F">
        <w:rPr>
          <w:rFonts w:cs="Arial"/>
          <w:b/>
          <w:szCs w:val="24"/>
          <w:lang w:val="es-MX"/>
        </w:rPr>
        <w:t>Retroalimentación negativa:</w:t>
      </w:r>
      <w:r w:rsidRPr="0020158F">
        <w:rPr>
          <w:rFonts w:cs="Arial"/>
          <w:szCs w:val="24"/>
          <w:lang w:val="es-MX"/>
        </w:rPr>
        <w:t xml:space="preserve"> ¡No es correcto! Revise la temática y vuelva a intentarlo.</w:t>
      </w:r>
    </w:p>
    <w:p w:rsidR="0084236A" w:rsidRPr="0084236A" w:rsidRDefault="0084236A">
      <w:pPr>
        <w:rPr>
          <w:szCs w:val="24"/>
        </w:rPr>
      </w:pPr>
    </w:p>
    <w:sectPr w:rsidR="0084236A" w:rsidRPr="00842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F3653"/>
    <w:multiLevelType w:val="hybridMultilevel"/>
    <w:tmpl w:val="09CAE8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18"/>
    <w:rsid w:val="00076B18"/>
    <w:rsid w:val="00086E22"/>
    <w:rsid w:val="0016136B"/>
    <w:rsid w:val="001778B3"/>
    <w:rsid w:val="002C153E"/>
    <w:rsid w:val="002E212D"/>
    <w:rsid w:val="005C0B4A"/>
    <w:rsid w:val="00602A3F"/>
    <w:rsid w:val="00747383"/>
    <w:rsid w:val="0084236A"/>
    <w:rsid w:val="00861EA6"/>
    <w:rsid w:val="0088723F"/>
    <w:rsid w:val="00C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A64E"/>
  <w15:chartTrackingRefBased/>
  <w15:docId w15:val="{B8C7411E-3A92-4133-9DCD-DB7E052E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B18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table" w:styleId="Tablaconcuadrcula">
    <w:name w:val="Table Grid"/>
    <w:basedOn w:val="Tablanormal"/>
    <w:uiPriority w:val="59"/>
    <w:rsid w:val="00076B1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8</cp:revision>
  <dcterms:created xsi:type="dcterms:W3CDTF">2020-11-02T23:36:00Z</dcterms:created>
  <dcterms:modified xsi:type="dcterms:W3CDTF">2020-11-03T00:33:00Z</dcterms:modified>
</cp:coreProperties>
</file>