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700C" w14:textId="77777777" w:rsidR="00891F14" w:rsidRPr="00891F14" w:rsidRDefault="00891F14" w:rsidP="00891F14">
      <w:pPr>
        <w:jc w:val="center"/>
        <w:rPr>
          <w:rFonts w:cs="Arial"/>
          <w:b/>
          <w:szCs w:val="24"/>
        </w:rPr>
      </w:pPr>
      <w:r w:rsidRPr="00891F14">
        <w:rPr>
          <w:rFonts w:cs="Arial"/>
          <w:b/>
          <w:szCs w:val="24"/>
        </w:rPr>
        <w:t>Leyes aplicables a la gestión ambiental</w:t>
      </w:r>
    </w:p>
    <w:p w14:paraId="563B59DE" w14:textId="77777777" w:rsidR="00891F14" w:rsidRDefault="00891F14" w:rsidP="00891F14">
      <w:pPr>
        <w:rPr>
          <w:rFonts w:cs="Arial"/>
          <w:szCs w:val="24"/>
        </w:rPr>
      </w:pPr>
    </w:p>
    <w:p w14:paraId="3DF38DDD" w14:textId="24A55BFE" w:rsidR="00A63A16" w:rsidRPr="00A63A16" w:rsidRDefault="00A63A16" w:rsidP="00891F14">
      <w:pPr>
        <w:rPr>
          <w:rFonts w:cs="Arial"/>
          <w:szCs w:val="24"/>
        </w:rPr>
      </w:pPr>
      <w:r>
        <w:rPr>
          <w:rFonts w:cs="Arial"/>
          <w:b/>
          <w:szCs w:val="24"/>
        </w:rPr>
        <w:t xml:space="preserve">Instrucción: </w:t>
      </w:r>
      <w:r>
        <w:rPr>
          <w:rFonts w:cs="Arial"/>
          <w:szCs w:val="24"/>
        </w:rPr>
        <w:t xml:space="preserve">realizar interactividad: </w:t>
      </w:r>
      <w:proofErr w:type="spellStart"/>
      <w:r w:rsidRPr="00A63A16">
        <w:rPr>
          <w:rFonts w:cs="Arial"/>
          <w:szCs w:val="24"/>
        </w:rPr>
        <w:t>Edge</w:t>
      </w:r>
      <w:proofErr w:type="spellEnd"/>
      <w:r w:rsidRPr="00A63A16">
        <w:rPr>
          <w:rFonts w:cs="Arial"/>
          <w:szCs w:val="24"/>
        </w:rPr>
        <w:t xml:space="preserve">\9 </w:t>
      </w:r>
      <w:proofErr w:type="spellStart"/>
      <w:r w:rsidRPr="00A63A16">
        <w:rPr>
          <w:rFonts w:cs="Arial"/>
          <w:szCs w:val="24"/>
        </w:rPr>
        <w:t>items</w:t>
      </w:r>
      <w:proofErr w:type="spellEnd"/>
      <w:r w:rsidRPr="00A63A16">
        <w:rPr>
          <w:rFonts w:cs="Arial"/>
          <w:szCs w:val="24"/>
        </w:rPr>
        <w:t>\</w:t>
      </w:r>
      <w:proofErr w:type="spellStart"/>
      <w:r w:rsidRPr="00A63A16">
        <w:rPr>
          <w:rFonts w:cs="Arial"/>
          <w:szCs w:val="24"/>
        </w:rPr>
        <w:t>opcion</w:t>
      </w:r>
      <w:proofErr w:type="spellEnd"/>
      <w:r w:rsidR="00704FFC">
        <w:rPr>
          <w:rFonts w:cs="Arial"/>
          <w:szCs w:val="24"/>
        </w:rPr>
        <w:t>. Favor poner introducción y acompañar cada sección de imagen</w:t>
      </w:r>
      <w:r w:rsidR="00A5270B">
        <w:rPr>
          <w:rFonts w:cs="Arial"/>
          <w:szCs w:val="24"/>
        </w:rPr>
        <w:t xml:space="preserve"> (se ponen códigos en comentarios)</w:t>
      </w:r>
      <w:bookmarkStart w:id="0" w:name="_GoBack"/>
      <w:bookmarkEnd w:id="0"/>
      <w:r w:rsidR="00704FFC">
        <w:rPr>
          <w:rFonts w:cs="Arial"/>
          <w:szCs w:val="24"/>
        </w:rPr>
        <w:t xml:space="preserve">. </w:t>
      </w:r>
    </w:p>
    <w:p w14:paraId="4396268F" w14:textId="77777777" w:rsidR="00A63A16" w:rsidRDefault="00A63A16" w:rsidP="00891F14">
      <w:pPr>
        <w:rPr>
          <w:rFonts w:cs="Arial"/>
          <w:b/>
          <w:szCs w:val="24"/>
        </w:rPr>
      </w:pPr>
    </w:p>
    <w:p w14:paraId="72521C87" w14:textId="77777777" w:rsidR="00A63A16" w:rsidRDefault="00A63A16" w:rsidP="00891F14">
      <w:pPr>
        <w:rPr>
          <w:rFonts w:cs="Arial"/>
          <w:b/>
          <w:szCs w:val="24"/>
        </w:rPr>
      </w:pPr>
    </w:p>
    <w:p w14:paraId="531D6C6A" w14:textId="77777777" w:rsidR="00891F14" w:rsidRPr="006E736A" w:rsidRDefault="00891F14" w:rsidP="00891F14">
      <w:pPr>
        <w:rPr>
          <w:rFonts w:cs="Arial"/>
          <w:b/>
          <w:szCs w:val="24"/>
        </w:rPr>
      </w:pPr>
      <w:r w:rsidRPr="006E736A">
        <w:rPr>
          <w:rFonts w:cs="Arial"/>
          <w:b/>
          <w:szCs w:val="24"/>
        </w:rPr>
        <w:t xml:space="preserve">A continuación, se evidencian las diferentes leyes expedidas por el gobierno nacional en materia de gestión ambiental, de acuerdo con los diferentes tipos de recursos como agua, suelo, aire, así como los diferentes aspectos que pueden causar contaminación en el ambiente: </w:t>
      </w:r>
    </w:p>
    <w:p w14:paraId="2AD504A3" w14:textId="77777777" w:rsidR="006E736A" w:rsidRDefault="006E736A" w:rsidP="00891F14">
      <w:pPr>
        <w:rPr>
          <w:rFonts w:cs="Arial"/>
          <w:szCs w:val="24"/>
        </w:rPr>
      </w:pPr>
    </w:p>
    <w:p w14:paraId="491FAACB" w14:textId="77777777" w:rsidR="006E736A" w:rsidRPr="006E736A" w:rsidRDefault="006E736A" w:rsidP="006E736A">
      <w:pPr>
        <w:jc w:val="center"/>
        <w:rPr>
          <w:rFonts w:cs="Arial"/>
          <w:b/>
          <w:i/>
          <w:color w:val="4472C4" w:themeColor="accent5"/>
          <w:szCs w:val="24"/>
        </w:rPr>
      </w:pPr>
      <w:r w:rsidRPr="006E736A">
        <w:rPr>
          <w:rFonts w:cs="Arial"/>
          <w:b/>
          <w:i/>
          <w:color w:val="4472C4" w:themeColor="accent5"/>
          <w:szCs w:val="24"/>
        </w:rPr>
        <w:t xml:space="preserve">Haga clic sobre cada </w:t>
      </w:r>
      <w:r>
        <w:rPr>
          <w:rFonts w:cs="Arial"/>
          <w:b/>
          <w:i/>
          <w:color w:val="4472C4" w:themeColor="accent5"/>
          <w:szCs w:val="24"/>
        </w:rPr>
        <w:t>aspecto</w:t>
      </w:r>
      <w:r w:rsidRPr="006E736A">
        <w:rPr>
          <w:rFonts w:cs="Arial"/>
          <w:b/>
          <w:i/>
          <w:color w:val="4472C4" w:themeColor="accent5"/>
          <w:szCs w:val="24"/>
        </w:rPr>
        <w:t xml:space="preserve"> para </w:t>
      </w:r>
      <w:r>
        <w:rPr>
          <w:rFonts w:cs="Arial"/>
          <w:b/>
          <w:i/>
          <w:color w:val="4472C4" w:themeColor="accent5"/>
          <w:szCs w:val="24"/>
        </w:rPr>
        <w:t>conocer las leyes aplicables a la gestión ambiental:</w:t>
      </w:r>
    </w:p>
    <w:p w14:paraId="5EE815D2" w14:textId="77777777" w:rsidR="002E212D" w:rsidRDefault="002E212D">
      <w:pPr>
        <w:rPr>
          <w:rFonts w:cs="Arial"/>
          <w:szCs w:val="24"/>
        </w:rPr>
      </w:pPr>
    </w:p>
    <w:p w14:paraId="0899FE99" w14:textId="77777777" w:rsidR="006E736A" w:rsidRDefault="006E736A">
      <w:pPr>
        <w:rPr>
          <w:rFonts w:cs="Arial"/>
          <w:szCs w:val="24"/>
        </w:rPr>
      </w:pPr>
    </w:p>
    <w:p w14:paraId="16C8D6E0" w14:textId="77777777" w:rsidR="00586FB3" w:rsidRPr="00586FB3" w:rsidRDefault="006E736A" w:rsidP="006E736A">
      <w:pPr>
        <w:rPr>
          <w:rFonts w:cs="Arial"/>
          <w:b/>
          <w:szCs w:val="24"/>
        </w:rPr>
      </w:pPr>
      <w:commentRangeStart w:id="1"/>
      <w:r w:rsidRPr="00586FB3">
        <w:rPr>
          <w:rFonts w:cs="Arial"/>
          <w:b/>
          <w:szCs w:val="24"/>
        </w:rPr>
        <w:t>Agua</w:t>
      </w:r>
      <w:r w:rsidRPr="00586FB3">
        <w:rPr>
          <w:rFonts w:cs="Arial"/>
          <w:b/>
          <w:szCs w:val="24"/>
        </w:rPr>
        <w:tab/>
        <w:t>- Ley 373 1997</w:t>
      </w:r>
      <w:commentRangeEnd w:id="1"/>
      <w:r w:rsidR="001B0342">
        <w:rPr>
          <w:rStyle w:val="Refdecomentario"/>
        </w:rPr>
        <w:commentReference w:id="1"/>
      </w:r>
    </w:p>
    <w:p w14:paraId="31E8180E" w14:textId="77777777" w:rsidR="00586FB3" w:rsidRDefault="00586FB3" w:rsidP="006E736A">
      <w:pPr>
        <w:rPr>
          <w:rFonts w:cs="Arial"/>
          <w:szCs w:val="24"/>
        </w:rPr>
      </w:pPr>
    </w:p>
    <w:p w14:paraId="2FEFB245" w14:textId="77777777" w:rsidR="006E736A" w:rsidRDefault="006E736A" w:rsidP="006E736A">
      <w:pPr>
        <w:rPr>
          <w:rFonts w:cs="Arial"/>
          <w:szCs w:val="24"/>
        </w:rPr>
      </w:pPr>
      <w:r w:rsidRPr="006E736A">
        <w:rPr>
          <w:rFonts w:cs="Arial"/>
          <w:szCs w:val="24"/>
        </w:rPr>
        <w:t>Por la cual se establece el programa para el</w:t>
      </w:r>
      <w:r>
        <w:rPr>
          <w:rFonts w:cs="Arial"/>
          <w:szCs w:val="24"/>
        </w:rPr>
        <w:t xml:space="preserve"> uso eficiente y ahorro del agua. Su aplicabilidad es:</w:t>
      </w:r>
    </w:p>
    <w:p w14:paraId="1996CB19" w14:textId="77777777" w:rsidR="006E736A" w:rsidRPr="006E736A" w:rsidRDefault="006E736A" w:rsidP="006E736A">
      <w:pPr>
        <w:rPr>
          <w:rFonts w:cs="Arial"/>
          <w:szCs w:val="24"/>
        </w:rPr>
      </w:pPr>
      <w:r w:rsidRPr="006E736A">
        <w:rPr>
          <w:rFonts w:cs="Arial"/>
          <w:szCs w:val="24"/>
        </w:rPr>
        <w:tab/>
        <w:t xml:space="preserve"> </w:t>
      </w:r>
    </w:p>
    <w:p w14:paraId="48FA433E" w14:textId="77777777" w:rsidR="006E736A" w:rsidRPr="006E736A" w:rsidRDefault="006E736A" w:rsidP="006E736A">
      <w:pPr>
        <w:rPr>
          <w:rFonts w:cs="Arial"/>
          <w:szCs w:val="24"/>
        </w:rPr>
      </w:pPr>
      <w:r>
        <w:rPr>
          <w:rFonts w:cs="Arial"/>
          <w:szCs w:val="24"/>
        </w:rPr>
        <w:t xml:space="preserve">• </w:t>
      </w:r>
      <w:r w:rsidRPr="006E736A">
        <w:rPr>
          <w:rFonts w:cs="Arial"/>
          <w:szCs w:val="24"/>
        </w:rPr>
        <w:t xml:space="preserve">Establecer un programa eficiente de ahorro del agua, incluido en todo plan ambiental aplicable a todas las entidades territoriales. </w:t>
      </w:r>
    </w:p>
    <w:p w14:paraId="43F26E1A" w14:textId="77777777" w:rsidR="006E736A" w:rsidRDefault="004A0FE7" w:rsidP="006E736A">
      <w:pPr>
        <w:rPr>
          <w:rFonts w:cs="Arial"/>
          <w:szCs w:val="24"/>
        </w:rPr>
      </w:pPr>
      <w:r>
        <w:rPr>
          <w:rFonts w:cs="Arial"/>
          <w:szCs w:val="24"/>
        </w:rPr>
        <w:t xml:space="preserve">• </w:t>
      </w:r>
      <w:r w:rsidR="006E736A" w:rsidRPr="006E736A">
        <w:rPr>
          <w:rFonts w:cs="Arial"/>
          <w:szCs w:val="24"/>
        </w:rPr>
        <w:t>Es necesario la implementación de campañas educativas a los usuarios, en donde las entidades deben asignar presupuestos para la implementación de estas estratégicas.</w:t>
      </w:r>
    </w:p>
    <w:p w14:paraId="4676A759" w14:textId="77777777" w:rsidR="00586FB3" w:rsidRDefault="00586FB3" w:rsidP="006E736A">
      <w:pPr>
        <w:rPr>
          <w:rFonts w:cs="Arial"/>
          <w:szCs w:val="24"/>
        </w:rPr>
      </w:pPr>
    </w:p>
    <w:p w14:paraId="50FEDB3F" w14:textId="77777777" w:rsidR="00586FB3" w:rsidRPr="00A30DFE" w:rsidRDefault="00586FB3" w:rsidP="00586FB3">
      <w:pPr>
        <w:rPr>
          <w:rFonts w:cs="Arial"/>
          <w:b/>
          <w:szCs w:val="24"/>
        </w:rPr>
      </w:pPr>
      <w:commentRangeStart w:id="2"/>
      <w:r w:rsidRPr="00A30DFE">
        <w:rPr>
          <w:rFonts w:cs="Arial"/>
          <w:b/>
          <w:szCs w:val="24"/>
        </w:rPr>
        <w:t>R</w:t>
      </w:r>
      <w:r w:rsidR="00A30DFE">
        <w:rPr>
          <w:rFonts w:cs="Arial"/>
          <w:b/>
          <w:szCs w:val="24"/>
        </w:rPr>
        <w:t xml:space="preserve">ecursos naturales - </w:t>
      </w:r>
      <w:r w:rsidRPr="00A30DFE">
        <w:rPr>
          <w:rFonts w:cs="Arial"/>
          <w:b/>
          <w:szCs w:val="24"/>
        </w:rPr>
        <w:t>Ley 23 de 1973</w:t>
      </w:r>
      <w:commentRangeEnd w:id="2"/>
      <w:r w:rsidR="001B0342">
        <w:rPr>
          <w:rStyle w:val="Refdecomentario"/>
        </w:rPr>
        <w:commentReference w:id="2"/>
      </w:r>
    </w:p>
    <w:p w14:paraId="5C2DD887" w14:textId="77777777" w:rsidR="00586FB3" w:rsidRDefault="00586FB3" w:rsidP="00586FB3">
      <w:pPr>
        <w:rPr>
          <w:rFonts w:cs="Arial"/>
          <w:szCs w:val="24"/>
        </w:rPr>
      </w:pPr>
    </w:p>
    <w:p w14:paraId="65D8884F" w14:textId="77777777" w:rsidR="00586FB3" w:rsidRPr="00586FB3" w:rsidRDefault="00586FB3" w:rsidP="00586FB3">
      <w:pPr>
        <w:rPr>
          <w:rFonts w:cs="Arial"/>
          <w:szCs w:val="24"/>
        </w:rPr>
      </w:pPr>
      <w:r w:rsidRPr="00586FB3">
        <w:rPr>
          <w:rFonts w:cs="Arial"/>
          <w:szCs w:val="24"/>
        </w:rPr>
        <w:t>Por la cual se conceden facultades extra</w:t>
      </w:r>
      <w:r w:rsidR="00C62FB8">
        <w:rPr>
          <w:rFonts w:cs="Arial"/>
          <w:szCs w:val="24"/>
        </w:rPr>
        <w:t>ordinarias al presidente de La R</w:t>
      </w:r>
      <w:r w:rsidRPr="00586FB3">
        <w:rPr>
          <w:rFonts w:cs="Arial"/>
          <w:szCs w:val="24"/>
        </w:rPr>
        <w:t>epública</w:t>
      </w:r>
    </w:p>
    <w:p w14:paraId="3EF233AA" w14:textId="77777777" w:rsidR="00586FB3" w:rsidRPr="00586FB3" w:rsidRDefault="00586FB3" w:rsidP="00586FB3">
      <w:pPr>
        <w:rPr>
          <w:rFonts w:cs="Arial"/>
          <w:szCs w:val="24"/>
        </w:rPr>
      </w:pPr>
      <w:r w:rsidRPr="00586FB3">
        <w:rPr>
          <w:rFonts w:cs="Arial"/>
          <w:szCs w:val="24"/>
        </w:rPr>
        <w:t>para expedir el Código de Recursos Naturales y de Protección al Medio Ambiente</w:t>
      </w:r>
    </w:p>
    <w:p w14:paraId="6CB4C8FC" w14:textId="77777777" w:rsidR="00C62FB8" w:rsidRDefault="00586FB3" w:rsidP="00586FB3">
      <w:pPr>
        <w:rPr>
          <w:rFonts w:cs="Arial"/>
          <w:szCs w:val="24"/>
        </w:rPr>
      </w:pPr>
      <w:r w:rsidRPr="00586FB3">
        <w:rPr>
          <w:rFonts w:cs="Arial"/>
          <w:szCs w:val="24"/>
        </w:rPr>
        <w:t>y se dictan otras disposiciones</w:t>
      </w:r>
      <w:r w:rsidR="00C62FB8">
        <w:rPr>
          <w:rFonts w:cs="Arial"/>
          <w:szCs w:val="24"/>
        </w:rPr>
        <w:t>:</w:t>
      </w:r>
    </w:p>
    <w:p w14:paraId="6E8F6FA5" w14:textId="77777777" w:rsidR="00C62FB8" w:rsidRDefault="00C62FB8" w:rsidP="00586FB3">
      <w:pPr>
        <w:rPr>
          <w:rFonts w:cs="Arial"/>
          <w:szCs w:val="24"/>
        </w:rPr>
      </w:pPr>
    </w:p>
    <w:p w14:paraId="0FBAEFC6" w14:textId="77777777" w:rsidR="00586FB3" w:rsidRDefault="00586FB3" w:rsidP="00586FB3">
      <w:pPr>
        <w:rPr>
          <w:rFonts w:cs="Arial"/>
          <w:szCs w:val="24"/>
        </w:rPr>
      </w:pPr>
      <w:r w:rsidRPr="00586FB3">
        <w:rPr>
          <w:rFonts w:cs="Arial"/>
          <w:szCs w:val="24"/>
        </w:rPr>
        <w:t>•</w:t>
      </w:r>
      <w:r w:rsidR="00C62FB8">
        <w:rPr>
          <w:rFonts w:cs="Arial"/>
          <w:szCs w:val="24"/>
        </w:rPr>
        <w:t xml:space="preserve"> </w:t>
      </w:r>
      <w:r w:rsidRPr="00586FB3">
        <w:rPr>
          <w:rFonts w:cs="Arial"/>
          <w:szCs w:val="24"/>
        </w:rPr>
        <w:t>Se dictan disposiciones para el manejo de los recursos naturales en Colombia, así mismo las sanciones de no cumplimiento.</w:t>
      </w:r>
    </w:p>
    <w:p w14:paraId="118D48E3" w14:textId="77777777" w:rsidR="00C62FB8" w:rsidRDefault="00C62FB8" w:rsidP="00586FB3">
      <w:pPr>
        <w:rPr>
          <w:rFonts w:cs="Arial"/>
          <w:szCs w:val="24"/>
        </w:rPr>
      </w:pPr>
    </w:p>
    <w:p w14:paraId="7431EAA7" w14:textId="77777777" w:rsidR="00C62FB8" w:rsidRPr="00586FB3" w:rsidRDefault="00C62FB8" w:rsidP="00586FB3">
      <w:pPr>
        <w:rPr>
          <w:rFonts w:cs="Arial"/>
          <w:szCs w:val="24"/>
        </w:rPr>
      </w:pPr>
    </w:p>
    <w:p w14:paraId="3A03FFBB" w14:textId="77777777" w:rsidR="00C62FB8" w:rsidRPr="00C62FB8" w:rsidRDefault="00C62FB8" w:rsidP="00C62FB8">
      <w:pPr>
        <w:rPr>
          <w:rFonts w:cs="Arial"/>
          <w:b/>
          <w:bCs/>
          <w:szCs w:val="24"/>
        </w:rPr>
      </w:pPr>
      <w:commentRangeStart w:id="3"/>
      <w:r w:rsidRPr="00C62FB8">
        <w:rPr>
          <w:rFonts w:cs="Arial"/>
          <w:b/>
          <w:bCs/>
          <w:szCs w:val="24"/>
        </w:rPr>
        <w:t>Publicidad exterior -</w:t>
      </w:r>
      <w:r w:rsidR="0070155F">
        <w:rPr>
          <w:rFonts w:cs="Arial"/>
          <w:b/>
          <w:bCs/>
          <w:szCs w:val="24"/>
        </w:rPr>
        <w:t xml:space="preserve"> </w:t>
      </w:r>
      <w:r w:rsidRPr="00C62FB8">
        <w:rPr>
          <w:rFonts w:cs="Arial"/>
          <w:b/>
          <w:bCs/>
          <w:szCs w:val="24"/>
        </w:rPr>
        <w:t>Ley 140 de 1994</w:t>
      </w:r>
      <w:commentRangeEnd w:id="3"/>
      <w:r w:rsidR="001B0342">
        <w:rPr>
          <w:rStyle w:val="Refdecomentario"/>
        </w:rPr>
        <w:commentReference w:id="3"/>
      </w:r>
    </w:p>
    <w:p w14:paraId="46767489" w14:textId="77777777" w:rsidR="00C62FB8" w:rsidRDefault="00C62FB8" w:rsidP="00C62FB8">
      <w:pPr>
        <w:rPr>
          <w:rFonts w:cs="Arial"/>
          <w:bCs/>
          <w:szCs w:val="24"/>
        </w:rPr>
      </w:pPr>
    </w:p>
    <w:p w14:paraId="4961902C" w14:textId="77777777" w:rsidR="00C62FB8" w:rsidRDefault="00C62FB8" w:rsidP="00C62FB8">
      <w:pPr>
        <w:rPr>
          <w:rFonts w:cs="Arial"/>
          <w:bCs/>
          <w:szCs w:val="24"/>
        </w:rPr>
      </w:pPr>
      <w:r w:rsidRPr="00C62FB8">
        <w:rPr>
          <w:rFonts w:cs="Arial"/>
          <w:bCs/>
          <w:szCs w:val="24"/>
        </w:rPr>
        <w:t xml:space="preserve">Por la cual se reglamenta la publicidad exterior visual </w:t>
      </w:r>
      <w:r>
        <w:rPr>
          <w:rFonts w:cs="Arial"/>
          <w:bCs/>
          <w:szCs w:val="24"/>
        </w:rPr>
        <w:t>en el territorio nacional:</w:t>
      </w:r>
    </w:p>
    <w:p w14:paraId="3EE4D11C" w14:textId="77777777" w:rsidR="00C62FB8" w:rsidRDefault="00C62FB8" w:rsidP="00C62FB8">
      <w:pPr>
        <w:rPr>
          <w:rFonts w:cs="Arial"/>
          <w:bCs/>
          <w:szCs w:val="24"/>
        </w:rPr>
      </w:pPr>
    </w:p>
    <w:p w14:paraId="6B36F2F0" w14:textId="77777777" w:rsidR="00C62FB8" w:rsidRDefault="00C62FB8" w:rsidP="00C62FB8">
      <w:pPr>
        <w:rPr>
          <w:rFonts w:cs="Arial"/>
          <w:bCs/>
          <w:szCs w:val="24"/>
        </w:rPr>
      </w:pPr>
      <w:r>
        <w:rPr>
          <w:rFonts w:cs="Arial"/>
          <w:bCs/>
          <w:szCs w:val="24"/>
        </w:rPr>
        <w:t xml:space="preserve">• </w:t>
      </w:r>
      <w:r w:rsidRPr="00C62FB8">
        <w:rPr>
          <w:rFonts w:cs="Arial"/>
          <w:bCs/>
          <w:szCs w:val="24"/>
        </w:rPr>
        <w:t>A más tardar dentro de los tres (3) días hábiles siguientes a la colocación de la publicidad exterior visual deberá registrarse dicha colocación ante el alcalde del municipio, distrito o territorio indígena respectivo o ante la autoridad en quien está delegada tal función.</w:t>
      </w:r>
    </w:p>
    <w:p w14:paraId="3612E43D" w14:textId="77777777" w:rsidR="00C62FB8" w:rsidRPr="00C62FB8" w:rsidRDefault="00C62FB8" w:rsidP="00C62FB8">
      <w:pPr>
        <w:rPr>
          <w:rFonts w:cs="Arial"/>
          <w:bCs/>
          <w:szCs w:val="24"/>
        </w:rPr>
      </w:pPr>
    </w:p>
    <w:p w14:paraId="0DCAC62A" w14:textId="77777777" w:rsidR="00891F14" w:rsidRPr="00C62FB8" w:rsidRDefault="00C62FB8" w:rsidP="00C62FB8">
      <w:pPr>
        <w:rPr>
          <w:rFonts w:cs="Arial"/>
          <w:bCs/>
          <w:szCs w:val="24"/>
        </w:rPr>
      </w:pPr>
      <w:r>
        <w:rPr>
          <w:rFonts w:cs="Arial"/>
          <w:bCs/>
          <w:szCs w:val="24"/>
        </w:rPr>
        <w:t xml:space="preserve">• </w:t>
      </w:r>
      <w:r w:rsidRPr="00C62FB8">
        <w:rPr>
          <w:rFonts w:cs="Arial"/>
          <w:bCs/>
          <w:szCs w:val="24"/>
        </w:rPr>
        <w:t>Las personas que coloquen publicidad distint</w:t>
      </w:r>
      <w:r>
        <w:rPr>
          <w:rFonts w:cs="Arial"/>
          <w:bCs/>
          <w:szCs w:val="24"/>
        </w:rPr>
        <w:t>a a la prevista en la presente ley y que no registren</w:t>
      </w:r>
      <w:r w:rsidRPr="00C62FB8">
        <w:rPr>
          <w:rFonts w:cs="Arial"/>
          <w:bCs/>
          <w:szCs w:val="24"/>
        </w:rPr>
        <w:t xml:space="preserve"> en los términos del presente artículo, incurrirán en las multas que </w:t>
      </w:r>
      <w:r w:rsidRPr="00C62FB8">
        <w:rPr>
          <w:rFonts w:cs="Arial"/>
          <w:bCs/>
          <w:szCs w:val="24"/>
        </w:rPr>
        <w:lastRenderedPageBreak/>
        <w:t>para el efecto señalen las autoridades municipales, distritales y de los territorios indígenas, en desarrollo de lo previsto en</w:t>
      </w:r>
      <w:r>
        <w:rPr>
          <w:rFonts w:cs="Arial"/>
          <w:bCs/>
          <w:szCs w:val="24"/>
        </w:rPr>
        <w:t xml:space="preserve"> el artículo 13 de la presente l</w:t>
      </w:r>
      <w:r w:rsidRPr="00C62FB8">
        <w:rPr>
          <w:rFonts w:cs="Arial"/>
          <w:bCs/>
          <w:szCs w:val="24"/>
        </w:rPr>
        <w:t>ey.</w:t>
      </w:r>
    </w:p>
    <w:p w14:paraId="3720F01B" w14:textId="77777777" w:rsidR="00891F14" w:rsidRDefault="00891F14" w:rsidP="00891F14">
      <w:pPr>
        <w:rPr>
          <w:rFonts w:cs="Arial"/>
          <w:color w:val="FF0000"/>
          <w:szCs w:val="24"/>
        </w:rPr>
      </w:pPr>
    </w:p>
    <w:p w14:paraId="05A81427" w14:textId="77777777" w:rsidR="008D2DAB" w:rsidRPr="008D2DAB" w:rsidRDefault="008D2DAB" w:rsidP="00891F14">
      <w:pPr>
        <w:rPr>
          <w:rFonts w:cs="Arial"/>
          <w:b/>
          <w:szCs w:val="24"/>
        </w:rPr>
      </w:pPr>
      <w:commentRangeStart w:id="4"/>
      <w:r w:rsidRPr="008D2DAB">
        <w:rPr>
          <w:rFonts w:cs="Arial"/>
          <w:b/>
          <w:szCs w:val="24"/>
        </w:rPr>
        <w:t>Energía</w:t>
      </w:r>
      <w:r>
        <w:rPr>
          <w:rFonts w:cs="Arial"/>
          <w:b/>
          <w:szCs w:val="24"/>
        </w:rPr>
        <w:t xml:space="preserve"> - </w:t>
      </w:r>
      <w:r w:rsidRPr="008D2DAB">
        <w:rPr>
          <w:rFonts w:cs="Arial"/>
          <w:b/>
          <w:szCs w:val="24"/>
        </w:rPr>
        <w:t>Ley 697 de 2001</w:t>
      </w:r>
      <w:commentRangeEnd w:id="4"/>
      <w:r w:rsidR="00D23E42">
        <w:rPr>
          <w:rStyle w:val="Refdecomentario"/>
        </w:rPr>
        <w:commentReference w:id="4"/>
      </w:r>
    </w:p>
    <w:p w14:paraId="1C19D591" w14:textId="77777777" w:rsidR="008D2DAB" w:rsidRDefault="008D2DAB" w:rsidP="00891F14">
      <w:pPr>
        <w:rPr>
          <w:rFonts w:cs="Arial"/>
          <w:szCs w:val="24"/>
        </w:rPr>
      </w:pPr>
    </w:p>
    <w:p w14:paraId="2622D466" w14:textId="77777777" w:rsidR="0070155F" w:rsidRDefault="008D2DAB" w:rsidP="00891F14">
      <w:pPr>
        <w:rPr>
          <w:rFonts w:cs="Arial"/>
          <w:szCs w:val="24"/>
        </w:rPr>
      </w:pPr>
      <w:r w:rsidRPr="008D2DAB">
        <w:rPr>
          <w:rFonts w:cs="Arial"/>
          <w:szCs w:val="24"/>
        </w:rPr>
        <w:t xml:space="preserve">Mediante la cual se fomenta el uso racional y eficiente de la energía, se promueve la utilización de energías alternativas </w:t>
      </w:r>
      <w:r w:rsidR="0070155F">
        <w:rPr>
          <w:rFonts w:cs="Arial"/>
          <w:szCs w:val="24"/>
        </w:rPr>
        <w:t>y se dictan otras disposiciones:</w:t>
      </w:r>
    </w:p>
    <w:p w14:paraId="213B13CA" w14:textId="77777777" w:rsidR="0070155F" w:rsidRDefault="0070155F" w:rsidP="00891F14">
      <w:pPr>
        <w:rPr>
          <w:rFonts w:cs="Arial"/>
          <w:szCs w:val="24"/>
        </w:rPr>
      </w:pPr>
    </w:p>
    <w:p w14:paraId="7272F1D7" w14:textId="77777777" w:rsidR="008D2DAB" w:rsidRPr="008D2DAB" w:rsidRDefault="0070155F" w:rsidP="00891F14">
      <w:pPr>
        <w:rPr>
          <w:rFonts w:cs="Arial"/>
          <w:szCs w:val="24"/>
        </w:rPr>
      </w:pPr>
      <w:r>
        <w:rPr>
          <w:rFonts w:cs="Arial"/>
          <w:szCs w:val="24"/>
        </w:rPr>
        <w:t xml:space="preserve">• </w:t>
      </w:r>
      <w:r w:rsidR="008D2DAB" w:rsidRPr="008D2DAB">
        <w:rPr>
          <w:rFonts w:cs="Arial"/>
          <w:szCs w:val="24"/>
        </w:rPr>
        <w:t>Se declara el Uso Racional y Eficiente de la Energía (URE) como un asunto de interés social, público y de conveniencia nacional, fundamental para asegurar el abastecimiento energético pleno y oportuno, la competitividad de la economía colombiana, la protección al consumidor y la promoción del uso de energías no convencionales de manera sostenible con el medio ambiente y los recursos naturales.</w:t>
      </w:r>
    </w:p>
    <w:p w14:paraId="3EB4AD8E" w14:textId="77777777" w:rsidR="008D2DAB" w:rsidRDefault="008D2DAB" w:rsidP="00891F14">
      <w:pPr>
        <w:rPr>
          <w:rFonts w:cs="Arial"/>
          <w:color w:val="FF0000"/>
          <w:szCs w:val="24"/>
        </w:rPr>
      </w:pPr>
    </w:p>
    <w:p w14:paraId="34730285" w14:textId="77777777" w:rsidR="00926F2C" w:rsidRPr="00683E79" w:rsidRDefault="0070155F" w:rsidP="0070155F">
      <w:pPr>
        <w:rPr>
          <w:rFonts w:cs="Arial"/>
          <w:b/>
          <w:szCs w:val="24"/>
        </w:rPr>
      </w:pPr>
      <w:commentRangeStart w:id="5"/>
      <w:r w:rsidRPr="00683E79">
        <w:rPr>
          <w:rFonts w:cs="Arial"/>
          <w:b/>
          <w:szCs w:val="24"/>
        </w:rPr>
        <w:t>S</w:t>
      </w:r>
      <w:r w:rsidR="00926F2C" w:rsidRPr="00683E79">
        <w:rPr>
          <w:rFonts w:cs="Arial"/>
          <w:b/>
          <w:szCs w:val="24"/>
        </w:rPr>
        <w:t xml:space="preserve">anciones - </w:t>
      </w:r>
      <w:r w:rsidRPr="00683E79">
        <w:rPr>
          <w:rFonts w:cs="Arial"/>
          <w:b/>
          <w:szCs w:val="24"/>
        </w:rPr>
        <w:t>Ley 1259 2008</w:t>
      </w:r>
      <w:commentRangeEnd w:id="5"/>
      <w:r w:rsidR="00FD08BB">
        <w:rPr>
          <w:rStyle w:val="Refdecomentario"/>
        </w:rPr>
        <w:commentReference w:id="5"/>
      </w:r>
    </w:p>
    <w:p w14:paraId="3B346B4E" w14:textId="77777777" w:rsidR="00926F2C" w:rsidRDefault="00926F2C" w:rsidP="0070155F">
      <w:pPr>
        <w:rPr>
          <w:rFonts w:cs="Arial"/>
          <w:szCs w:val="24"/>
        </w:rPr>
      </w:pPr>
    </w:p>
    <w:p w14:paraId="650551A5" w14:textId="77777777" w:rsidR="00926F2C" w:rsidRDefault="0070155F" w:rsidP="0070155F">
      <w:pPr>
        <w:rPr>
          <w:rFonts w:cs="Arial"/>
          <w:szCs w:val="24"/>
        </w:rPr>
      </w:pPr>
      <w:r w:rsidRPr="0070155F">
        <w:rPr>
          <w:rFonts w:cs="Arial"/>
          <w:szCs w:val="24"/>
        </w:rPr>
        <w:t>Por medio de la cual se instaura en el territorio nacional la aplicación del comparendo ambiental a los infractores de las normas de aseo, limpieza y recolección de escombros; y se dictan otras disposiciones</w:t>
      </w:r>
      <w:r w:rsidR="00926F2C">
        <w:rPr>
          <w:rFonts w:cs="Arial"/>
          <w:szCs w:val="24"/>
        </w:rPr>
        <w:t>:</w:t>
      </w:r>
    </w:p>
    <w:p w14:paraId="181A1DA1" w14:textId="77777777" w:rsidR="00926F2C" w:rsidRDefault="00926F2C" w:rsidP="0070155F">
      <w:pPr>
        <w:rPr>
          <w:rFonts w:cs="Arial"/>
          <w:szCs w:val="24"/>
        </w:rPr>
      </w:pPr>
    </w:p>
    <w:p w14:paraId="3CEF788A" w14:textId="77777777" w:rsidR="0070155F" w:rsidRDefault="0070155F" w:rsidP="0070155F">
      <w:pPr>
        <w:rPr>
          <w:rFonts w:cs="Arial"/>
          <w:szCs w:val="24"/>
        </w:rPr>
      </w:pPr>
      <w:r w:rsidRPr="0070155F">
        <w:rPr>
          <w:rFonts w:cs="Arial"/>
          <w:szCs w:val="24"/>
        </w:rPr>
        <w:t>•</w:t>
      </w:r>
      <w:r w:rsidR="00926F2C">
        <w:rPr>
          <w:rFonts w:cs="Arial"/>
          <w:szCs w:val="24"/>
        </w:rPr>
        <w:t xml:space="preserve"> </w:t>
      </w:r>
      <w:r w:rsidRPr="0070155F">
        <w:rPr>
          <w:rFonts w:cs="Arial"/>
          <w:szCs w:val="24"/>
        </w:rPr>
        <w:t xml:space="preserve">Define el </w:t>
      </w:r>
      <w:r w:rsidR="00926F2C" w:rsidRPr="0070155F">
        <w:rPr>
          <w:rFonts w:cs="Arial"/>
          <w:szCs w:val="24"/>
        </w:rPr>
        <w:t xml:space="preserve">comparendo ambiental </w:t>
      </w:r>
      <w:r w:rsidRPr="0070155F">
        <w:rPr>
          <w:rFonts w:cs="Arial"/>
          <w:szCs w:val="24"/>
        </w:rPr>
        <w:t>como instrumento de cultura ciudadana, sobre el adecuado manejo de residuos sólidos y escombros, previendo la afectación del med</w:t>
      </w:r>
      <w:r w:rsidR="00926F2C">
        <w:rPr>
          <w:rFonts w:cs="Arial"/>
          <w:szCs w:val="24"/>
        </w:rPr>
        <w:t xml:space="preserve">io ambiente y la salud pública </w:t>
      </w:r>
      <w:r w:rsidRPr="0070155F">
        <w:rPr>
          <w:rFonts w:cs="Arial"/>
          <w:szCs w:val="24"/>
        </w:rPr>
        <w:t>mediante sanciones pedagógicas y económicas a todas aquellas personas naturales o jurídicas que infrinjan la normatividad existente en materia de residuos sólidos; así como propiciar el fomento de estímulos a las buenas prácticas ambientalistas.</w:t>
      </w:r>
    </w:p>
    <w:p w14:paraId="49F011CF" w14:textId="77777777" w:rsidR="00926F2C" w:rsidRPr="0070155F" w:rsidRDefault="00926F2C" w:rsidP="0070155F">
      <w:pPr>
        <w:rPr>
          <w:rFonts w:cs="Arial"/>
          <w:szCs w:val="24"/>
        </w:rPr>
      </w:pPr>
    </w:p>
    <w:p w14:paraId="19E81D93" w14:textId="77777777" w:rsidR="0070155F" w:rsidRDefault="0070155F" w:rsidP="0070155F">
      <w:pPr>
        <w:rPr>
          <w:rFonts w:cs="Arial"/>
          <w:szCs w:val="24"/>
        </w:rPr>
      </w:pPr>
      <w:r w:rsidRPr="0070155F">
        <w:rPr>
          <w:rFonts w:cs="Arial"/>
          <w:szCs w:val="24"/>
        </w:rPr>
        <w:t>•</w:t>
      </w:r>
      <w:r w:rsidR="00926F2C">
        <w:rPr>
          <w:rFonts w:cs="Arial"/>
          <w:szCs w:val="24"/>
        </w:rPr>
        <w:t xml:space="preserve"> </w:t>
      </w:r>
      <w:r w:rsidRPr="0070155F">
        <w:rPr>
          <w:rFonts w:cs="Arial"/>
          <w:szCs w:val="24"/>
        </w:rPr>
        <w:t>Establece los diferentes tipos de comparendos ambientales.</w:t>
      </w:r>
    </w:p>
    <w:p w14:paraId="78C34F0A" w14:textId="77777777" w:rsidR="00926F2C" w:rsidRDefault="00926F2C" w:rsidP="0070155F">
      <w:pPr>
        <w:rPr>
          <w:rFonts w:cs="Arial"/>
          <w:szCs w:val="24"/>
        </w:rPr>
      </w:pPr>
    </w:p>
    <w:p w14:paraId="77BC2D23" w14:textId="77777777" w:rsidR="00926F2C" w:rsidRPr="00683E79" w:rsidRDefault="00926F2C" w:rsidP="00926F2C">
      <w:pPr>
        <w:rPr>
          <w:rFonts w:cs="Arial"/>
          <w:b/>
          <w:szCs w:val="24"/>
        </w:rPr>
      </w:pPr>
      <w:commentRangeStart w:id="6"/>
      <w:r w:rsidRPr="00683E79">
        <w:rPr>
          <w:rFonts w:cs="Arial"/>
          <w:b/>
          <w:szCs w:val="24"/>
        </w:rPr>
        <w:t>Suelo - Ley 388 de 1997</w:t>
      </w:r>
      <w:commentRangeEnd w:id="6"/>
      <w:r w:rsidR="00EC203E">
        <w:rPr>
          <w:rStyle w:val="Refdecomentario"/>
        </w:rPr>
        <w:commentReference w:id="6"/>
      </w:r>
    </w:p>
    <w:p w14:paraId="091C9752" w14:textId="77777777" w:rsidR="00926F2C" w:rsidRDefault="00926F2C" w:rsidP="00926F2C">
      <w:pPr>
        <w:rPr>
          <w:rFonts w:cs="Arial"/>
          <w:szCs w:val="24"/>
        </w:rPr>
      </w:pPr>
    </w:p>
    <w:p w14:paraId="28E5E527" w14:textId="77777777" w:rsidR="00926F2C" w:rsidRDefault="00926F2C" w:rsidP="00926F2C">
      <w:pPr>
        <w:rPr>
          <w:rFonts w:cs="Arial"/>
          <w:szCs w:val="24"/>
        </w:rPr>
      </w:pPr>
      <w:r w:rsidRPr="00926F2C">
        <w:rPr>
          <w:rFonts w:cs="Arial"/>
          <w:szCs w:val="24"/>
        </w:rPr>
        <w:t>Por la cual</w:t>
      </w:r>
      <w:r>
        <w:rPr>
          <w:rFonts w:cs="Arial"/>
          <w:szCs w:val="24"/>
        </w:rPr>
        <w:t xml:space="preserve"> se modifica la Ley 9 de 1989</w:t>
      </w:r>
      <w:r w:rsidRPr="00926F2C">
        <w:rPr>
          <w:rFonts w:cs="Arial"/>
          <w:szCs w:val="24"/>
        </w:rPr>
        <w:t xml:space="preserve"> y la Ley 2 de 1991 y se dictan otras disposiciones</w:t>
      </w:r>
      <w:r>
        <w:rPr>
          <w:rFonts w:cs="Arial"/>
          <w:szCs w:val="24"/>
        </w:rPr>
        <w:t>:</w:t>
      </w:r>
    </w:p>
    <w:p w14:paraId="1694E422" w14:textId="77777777" w:rsidR="00926F2C" w:rsidRDefault="00926F2C" w:rsidP="00926F2C">
      <w:pPr>
        <w:rPr>
          <w:rFonts w:cs="Arial"/>
          <w:szCs w:val="24"/>
        </w:rPr>
      </w:pPr>
    </w:p>
    <w:p w14:paraId="6900B375" w14:textId="77777777" w:rsidR="00926F2C" w:rsidRPr="00926F2C" w:rsidRDefault="00926F2C" w:rsidP="00926F2C">
      <w:pPr>
        <w:rPr>
          <w:rFonts w:cs="Arial"/>
          <w:szCs w:val="24"/>
        </w:rPr>
      </w:pPr>
      <w:r w:rsidRPr="00926F2C">
        <w:rPr>
          <w:rFonts w:cs="Arial"/>
          <w:szCs w:val="24"/>
        </w:rPr>
        <w:t>•</w:t>
      </w:r>
      <w:r>
        <w:rPr>
          <w:rFonts w:cs="Arial"/>
          <w:szCs w:val="24"/>
        </w:rPr>
        <w:t xml:space="preserve"> </w:t>
      </w:r>
      <w:r w:rsidRPr="00926F2C">
        <w:rPr>
          <w:rFonts w:cs="Arial"/>
          <w:szCs w:val="24"/>
        </w:rPr>
        <w:t>Define los planes de ordenamiento territorial de acuerdo a la naturaleza del terreno.</w:t>
      </w:r>
    </w:p>
    <w:p w14:paraId="5AF177CE" w14:textId="77777777" w:rsidR="00926F2C" w:rsidRDefault="00926F2C" w:rsidP="0070155F">
      <w:pPr>
        <w:rPr>
          <w:rFonts w:cs="Arial"/>
          <w:szCs w:val="24"/>
        </w:rPr>
      </w:pPr>
    </w:p>
    <w:p w14:paraId="7C8DEDAD" w14:textId="77777777" w:rsidR="00683E79" w:rsidRPr="00683E79" w:rsidRDefault="00683E79" w:rsidP="00683E79">
      <w:pPr>
        <w:rPr>
          <w:rFonts w:cs="Arial"/>
          <w:b/>
          <w:szCs w:val="24"/>
        </w:rPr>
      </w:pPr>
      <w:commentRangeStart w:id="7"/>
      <w:r w:rsidRPr="00683E79">
        <w:rPr>
          <w:rFonts w:cs="Arial"/>
          <w:b/>
          <w:szCs w:val="24"/>
        </w:rPr>
        <w:t>Medidas sanitarias</w:t>
      </w:r>
      <w:r w:rsidRPr="00683E79">
        <w:rPr>
          <w:rFonts w:cs="Arial"/>
          <w:b/>
          <w:szCs w:val="24"/>
        </w:rPr>
        <w:tab/>
        <w:t>- Ley 9 de 1979</w:t>
      </w:r>
      <w:commentRangeEnd w:id="7"/>
      <w:r w:rsidR="00EC203E">
        <w:rPr>
          <w:rStyle w:val="Refdecomentario"/>
        </w:rPr>
        <w:commentReference w:id="7"/>
      </w:r>
    </w:p>
    <w:p w14:paraId="6BE40FDD" w14:textId="77777777" w:rsidR="00683E79" w:rsidRDefault="00683E79" w:rsidP="00683E79">
      <w:pPr>
        <w:rPr>
          <w:rFonts w:cs="Arial"/>
          <w:szCs w:val="24"/>
        </w:rPr>
      </w:pPr>
    </w:p>
    <w:p w14:paraId="2741819B" w14:textId="77777777" w:rsidR="00D54991" w:rsidRDefault="00683E79" w:rsidP="00683E79">
      <w:pPr>
        <w:rPr>
          <w:rFonts w:cs="Arial"/>
          <w:szCs w:val="24"/>
        </w:rPr>
      </w:pPr>
      <w:r w:rsidRPr="00683E79">
        <w:rPr>
          <w:rFonts w:cs="Arial"/>
          <w:szCs w:val="24"/>
        </w:rPr>
        <w:t>Por la cu</w:t>
      </w:r>
      <w:r w:rsidR="00D54991">
        <w:rPr>
          <w:rFonts w:cs="Arial"/>
          <w:szCs w:val="24"/>
        </w:rPr>
        <w:t>al se dictan medidas sanitarias:</w:t>
      </w:r>
    </w:p>
    <w:p w14:paraId="1715D594" w14:textId="77777777" w:rsidR="00D54991" w:rsidRDefault="00D54991" w:rsidP="00683E79">
      <w:pPr>
        <w:rPr>
          <w:rFonts w:cs="Arial"/>
          <w:szCs w:val="24"/>
        </w:rPr>
      </w:pPr>
    </w:p>
    <w:p w14:paraId="3BAF4012" w14:textId="77777777" w:rsidR="00683E79" w:rsidRDefault="00683E79" w:rsidP="00683E79">
      <w:pPr>
        <w:rPr>
          <w:rFonts w:cs="Arial"/>
          <w:szCs w:val="24"/>
        </w:rPr>
      </w:pPr>
      <w:r w:rsidRPr="00683E79">
        <w:rPr>
          <w:rFonts w:cs="Arial"/>
          <w:szCs w:val="24"/>
        </w:rPr>
        <w:t>•</w:t>
      </w:r>
      <w:r w:rsidR="00D54991">
        <w:rPr>
          <w:rFonts w:cs="Arial"/>
          <w:szCs w:val="24"/>
        </w:rPr>
        <w:t xml:space="preserve"> </w:t>
      </w:r>
      <w:r w:rsidRPr="00683E79">
        <w:rPr>
          <w:rFonts w:cs="Arial"/>
          <w:szCs w:val="24"/>
        </w:rPr>
        <w:t>Define las acciones para el manejo de vertimientos y residuos en las organizaciones.</w:t>
      </w:r>
    </w:p>
    <w:p w14:paraId="4D39B9F2" w14:textId="77777777" w:rsidR="00D27DF8" w:rsidRDefault="00D27DF8" w:rsidP="00683E79">
      <w:pPr>
        <w:rPr>
          <w:rFonts w:cs="Arial"/>
          <w:szCs w:val="24"/>
        </w:rPr>
      </w:pPr>
    </w:p>
    <w:p w14:paraId="3A9F56BA" w14:textId="77777777" w:rsidR="00D27DF8" w:rsidRPr="00D87A2B" w:rsidRDefault="00D27DF8" w:rsidP="00683E79">
      <w:pPr>
        <w:rPr>
          <w:rFonts w:cs="Arial"/>
          <w:b/>
          <w:szCs w:val="24"/>
        </w:rPr>
      </w:pPr>
      <w:commentRangeStart w:id="8"/>
      <w:r w:rsidRPr="00D87A2B">
        <w:rPr>
          <w:rFonts w:cs="Arial"/>
          <w:b/>
          <w:szCs w:val="24"/>
        </w:rPr>
        <w:t>Sanciones - Ley 1333 de 2009</w:t>
      </w:r>
      <w:commentRangeEnd w:id="8"/>
      <w:r w:rsidR="0007291F">
        <w:rPr>
          <w:rStyle w:val="Refdecomentario"/>
        </w:rPr>
        <w:commentReference w:id="8"/>
      </w:r>
    </w:p>
    <w:p w14:paraId="0DCEE0EF" w14:textId="77777777" w:rsidR="00D27DF8" w:rsidRDefault="00D27DF8" w:rsidP="00683E79">
      <w:pPr>
        <w:rPr>
          <w:rFonts w:cs="Arial"/>
          <w:szCs w:val="24"/>
        </w:rPr>
      </w:pPr>
    </w:p>
    <w:p w14:paraId="5497EF9D" w14:textId="77777777" w:rsidR="00D27DF8" w:rsidRDefault="00D27DF8" w:rsidP="00D27DF8">
      <w:pPr>
        <w:rPr>
          <w:rFonts w:eastAsia="Arial" w:cs="Arial"/>
          <w:szCs w:val="24"/>
        </w:rPr>
      </w:pPr>
      <w:r w:rsidRPr="00891F14">
        <w:rPr>
          <w:rFonts w:eastAsia="Arial" w:cs="Arial"/>
          <w:szCs w:val="24"/>
        </w:rPr>
        <w:lastRenderedPageBreak/>
        <w:t>Por el cual se establece el procedimiento sancionatorio ambiental</w:t>
      </w:r>
      <w:r>
        <w:rPr>
          <w:rFonts w:eastAsia="Arial" w:cs="Arial"/>
          <w:szCs w:val="24"/>
        </w:rPr>
        <w:t xml:space="preserve"> y se dicta otras disposiciones:</w:t>
      </w:r>
    </w:p>
    <w:p w14:paraId="63D03C1D" w14:textId="77777777" w:rsidR="00D27DF8" w:rsidRDefault="00D27DF8" w:rsidP="00D27DF8">
      <w:pPr>
        <w:rPr>
          <w:rFonts w:eastAsia="Arial" w:cs="Arial"/>
          <w:szCs w:val="24"/>
        </w:rPr>
      </w:pPr>
    </w:p>
    <w:p w14:paraId="469F1BD2" w14:textId="77777777" w:rsidR="00D27DF8" w:rsidRDefault="00D27DF8" w:rsidP="00D27DF8">
      <w:pPr>
        <w:pStyle w:val="Prrafodelista"/>
        <w:numPr>
          <w:ilvl w:val="0"/>
          <w:numId w:val="3"/>
        </w:numPr>
        <w:rPr>
          <w:rFonts w:eastAsia="Arial" w:cs="Arial"/>
          <w:szCs w:val="24"/>
        </w:rPr>
      </w:pPr>
      <w:r w:rsidRPr="00D27DF8">
        <w:rPr>
          <w:rFonts w:eastAsia="Arial" w:cs="Arial"/>
          <w:szCs w:val="24"/>
        </w:rPr>
        <w:t>Establece el proceso por el cual se realizan las sanciones de acuerdo a la omisión de normas en relación al ámbito ambiental.</w:t>
      </w:r>
    </w:p>
    <w:p w14:paraId="2BDA50D8" w14:textId="77777777" w:rsidR="00A344D9" w:rsidRDefault="00A344D9" w:rsidP="00BB5E78">
      <w:pPr>
        <w:rPr>
          <w:rFonts w:eastAsia="Arial" w:cs="Arial"/>
          <w:b/>
          <w:szCs w:val="24"/>
        </w:rPr>
      </w:pPr>
    </w:p>
    <w:p w14:paraId="60FB27B8" w14:textId="0154C370" w:rsidR="00BB5E78" w:rsidRPr="00D87A2B" w:rsidRDefault="00BB5E78" w:rsidP="00BB5E78">
      <w:pPr>
        <w:rPr>
          <w:rFonts w:eastAsia="Arial" w:cs="Arial"/>
          <w:b/>
          <w:szCs w:val="24"/>
        </w:rPr>
      </w:pPr>
      <w:commentRangeStart w:id="9"/>
      <w:r w:rsidRPr="00D87A2B">
        <w:rPr>
          <w:rFonts w:eastAsia="Arial" w:cs="Arial"/>
          <w:b/>
          <w:szCs w:val="24"/>
        </w:rPr>
        <w:t>Residuos peligrosos – Ley 256 de 1996</w:t>
      </w:r>
      <w:commentRangeEnd w:id="9"/>
      <w:r w:rsidR="0007291F">
        <w:rPr>
          <w:rStyle w:val="Refdecomentario"/>
        </w:rPr>
        <w:commentReference w:id="9"/>
      </w:r>
    </w:p>
    <w:p w14:paraId="1E2FB548" w14:textId="77777777" w:rsidR="00BB5E78" w:rsidRDefault="00BB5E78" w:rsidP="00BB5E78">
      <w:pPr>
        <w:rPr>
          <w:rFonts w:eastAsia="Arial" w:cs="Arial"/>
          <w:szCs w:val="24"/>
        </w:rPr>
      </w:pPr>
    </w:p>
    <w:p w14:paraId="274A532A" w14:textId="77777777" w:rsidR="00BB5E78" w:rsidRPr="00BB5E78" w:rsidRDefault="00BB5E78" w:rsidP="00BB5E78">
      <w:pPr>
        <w:rPr>
          <w:rFonts w:eastAsia="Arial" w:cs="Arial"/>
          <w:szCs w:val="24"/>
        </w:rPr>
      </w:pPr>
      <w:r w:rsidRPr="00BB5E78">
        <w:rPr>
          <w:rFonts w:eastAsia="Arial" w:cs="Arial"/>
          <w:szCs w:val="24"/>
        </w:rPr>
        <w:t xml:space="preserve">Por medio de la cual se aprueba el Convenio de Basilea sobre el control de los </w:t>
      </w:r>
    </w:p>
    <w:p w14:paraId="69653B16" w14:textId="77777777" w:rsidR="00BB5E78" w:rsidRPr="00BB5E78" w:rsidRDefault="00BB5E78" w:rsidP="00BB5E78">
      <w:pPr>
        <w:rPr>
          <w:rFonts w:eastAsia="Arial" w:cs="Arial"/>
          <w:szCs w:val="24"/>
        </w:rPr>
      </w:pPr>
      <w:r w:rsidRPr="00BB5E78">
        <w:rPr>
          <w:rFonts w:eastAsia="Arial" w:cs="Arial"/>
          <w:szCs w:val="24"/>
        </w:rPr>
        <w:t xml:space="preserve">movimientos transfronterizos de los desechos peligrosos y su eliminación, hecho </w:t>
      </w:r>
    </w:p>
    <w:p w14:paraId="6B98AA1C" w14:textId="77777777" w:rsidR="00BB5E78" w:rsidRDefault="00BB5E78" w:rsidP="00BB5E78">
      <w:pPr>
        <w:rPr>
          <w:rFonts w:eastAsia="Arial" w:cs="Arial"/>
          <w:szCs w:val="24"/>
        </w:rPr>
      </w:pPr>
      <w:r w:rsidRPr="00BB5E78">
        <w:rPr>
          <w:rFonts w:eastAsia="Arial" w:cs="Arial"/>
          <w:szCs w:val="24"/>
        </w:rPr>
        <w:t>en Basilea el 22 de marzo de 1989</w:t>
      </w:r>
      <w:r>
        <w:rPr>
          <w:rFonts w:eastAsia="Arial" w:cs="Arial"/>
          <w:szCs w:val="24"/>
        </w:rPr>
        <w:t>:</w:t>
      </w:r>
    </w:p>
    <w:p w14:paraId="5AC2DC52" w14:textId="77777777" w:rsidR="00BB5E78" w:rsidRDefault="00BB5E78" w:rsidP="00BB5E78">
      <w:pPr>
        <w:rPr>
          <w:rFonts w:eastAsia="Arial" w:cs="Arial"/>
          <w:szCs w:val="24"/>
        </w:rPr>
      </w:pPr>
    </w:p>
    <w:p w14:paraId="008B2237" w14:textId="77777777" w:rsidR="00BB5E78" w:rsidRPr="00BB5E78" w:rsidRDefault="00BB5E78" w:rsidP="00BB5E78">
      <w:pPr>
        <w:rPr>
          <w:rFonts w:eastAsia="Arial" w:cs="Arial"/>
          <w:szCs w:val="24"/>
        </w:rPr>
      </w:pPr>
      <w:r>
        <w:rPr>
          <w:rFonts w:eastAsia="Arial" w:cs="Arial"/>
          <w:szCs w:val="24"/>
        </w:rPr>
        <w:t xml:space="preserve">• </w:t>
      </w:r>
      <w:r w:rsidRPr="00BB5E78">
        <w:rPr>
          <w:rFonts w:eastAsia="Arial" w:cs="Arial"/>
          <w:szCs w:val="24"/>
        </w:rPr>
        <w:t>Establece por categorías los residuos peligrosos que deben tenerse en cuenta para su respectivo manejo.</w:t>
      </w:r>
    </w:p>
    <w:p w14:paraId="74AC4516" w14:textId="77777777" w:rsidR="00D27DF8" w:rsidRPr="00683E79" w:rsidRDefault="00D27DF8" w:rsidP="00683E79">
      <w:pPr>
        <w:rPr>
          <w:rFonts w:cs="Arial"/>
          <w:szCs w:val="24"/>
        </w:rPr>
      </w:pPr>
    </w:p>
    <w:p w14:paraId="0FE3442C" w14:textId="77777777" w:rsidR="0070155F" w:rsidRDefault="0070155F" w:rsidP="00891F14">
      <w:pPr>
        <w:rPr>
          <w:rFonts w:cs="Arial"/>
          <w:color w:val="FF0000"/>
          <w:szCs w:val="24"/>
        </w:rPr>
      </w:pPr>
    </w:p>
    <w:p w14:paraId="1CBB0FA6" w14:textId="2C234BE6" w:rsidR="00D27DF8" w:rsidRPr="00C422F6" w:rsidRDefault="00C422F6" w:rsidP="00A906B2">
      <w:pPr>
        <w:rPr>
          <w:rFonts w:cs="Arial"/>
          <w:szCs w:val="24"/>
        </w:rPr>
      </w:pPr>
      <w:r w:rsidRPr="00C422F6">
        <w:rPr>
          <w:rFonts w:cs="Arial"/>
          <w:b/>
          <w:szCs w:val="24"/>
        </w:rPr>
        <w:t>Fuente:</w:t>
      </w:r>
      <w:r w:rsidRPr="00C422F6">
        <w:rPr>
          <w:rFonts w:cs="Arial"/>
          <w:szCs w:val="24"/>
        </w:rPr>
        <w:t xml:space="preserve"> Elaborado a partir del Congreso de la República de Colombia. </w:t>
      </w:r>
    </w:p>
    <w:sectPr w:rsidR="00D27DF8" w:rsidRPr="00C422F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lena Salas" w:date="2020-11-02T23:35:00Z" w:initials="MS">
    <w:p w14:paraId="56C3EB09" w14:textId="77777777" w:rsidR="001B0342" w:rsidRDefault="001B0342">
      <w:pPr>
        <w:pStyle w:val="Textocomentario"/>
      </w:pPr>
      <w:r>
        <w:rPr>
          <w:rStyle w:val="Refdecomentario"/>
        </w:rPr>
        <w:annotationRef/>
      </w:r>
      <w:r>
        <w:rPr>
          <w:rFonts w:cs="Arial"/>
          <w:color w:val="080808"/>
          <w:sz w:val="18"/>
          <w:szCs w:val="18"/>
          <w:shd w:val="clear" w:color="auto" w:fill="F4F4F4"/>
        </w:rPr>
        <w:t>1269814953</w:t>
      </w:r>
    </w:p>
  </w:comment>
  <w:comment w:id="2" w:author="Milena Salas" w:date="2020-11-02T23:39:00Z" w:initials="MS">
    <w:p w14:paraId="351CA60A" w14:textId="77777777" w:rsidR="001B0342" w:rsidRDefault="001B0342">
      <w:pPr>
        <w:pStyle w:val="Textocomentario"/>
      </w:pPr>
      <w:r>
        <w:rPr>
          <w:rStyle w:val="Refdecomentario"/>
        </w:rPr>
        <w:annotationRef/>
      </w:r>
      <w:r>
        <w:rPr>
          <w:rFonts w:cs="Arial"/>
          <w:color w:val="080808"/>
          <w:sz w:val="18"/>
          <w:szCs w:val="18"/>
          <w:shd w:val="clear" w:color="auto" w:fill="F4F4F4"/>
        </w:rPr>
        <w:t>506240953</w:t>
      </w:r>
    </w:p>
  </w:comment>
  <w:comment w:id="3" w:author="Milena Salas" w:date="2020-11-02T23:47:00Z" w:initials="MS">
    <w:p w14:paraId="271AAB72" w14:textId="5CE6F9E9" w:rsidR="001B0342" w:rsidRDefault="001B0342">
      <w:pPr>
        <w:pStyle w:val="Textocomentario"/>
      </w:pPr>
      <w:r>
        <w:rPr>
          <w:rStyle w:val="Refdecomentario"/>
        </w:rPr>
        <w:annotationRef/>
      </w:r>
      <w:r w:rsidR="00A11AF8">
        <w:rPr>
          <w:rFonts w:cs="Arial"/>
          <w:color w:val="080808"/>
          <w:sz w:val="18"/>
          <w:szCs w:val="18"/>
          <w:shd w:val="clear" w:color="auto" w:fill="F4F4F4"/>
        </w:rPr>
        <w:t>1248970433</w:t>
      </w:r>
    </w:p>
  </w:comment>
  <w:comment w:id="4" w:author="Milena Salas" w:date="2020-11-02T23:48:00Z" w:initials="MS">
    <w:p w14:paraId="2144FC0C" w14:textId="19D0D84D" w:rsidR="00D23E42" w:rsidRDefault="00D23E42">
      <w:pPr>
        <w:pStyle w:val="Textocomentario"/>
      </w:pPr>
      <w:r>
        <w:rPr>
          <w:rStyle w:val="Refdecomentario"/>
        </w:rPr>
        <w:annotationRef/>
      </w:r>
      <w:r w:rsidR="0023414F">
        <w:rPr>
          <w:rFonts w:cs="Arial"/>
          <w:color w:val="080808"/>
          <w:sz w:val="18"/>
          <w:szCs w:val="18"/>
          <w:shd w:val="clear" w:color="auto" w:fill="F4F4F4"/>
        </w:rPr>
        <w:t>1074596202 favo</w:t>
      </w:r>
      <w:r w:rsidR="00BB6ED5">
        <w:rPr>
          <w:rFonts w:cs="Arial"/>
          <w:color w:val="080808"/>
          <w:sz w:val="18"/>
          <w:szCs w:val="18"/>
          <w:shd w:val="clear" w:color="auto" w:fill="F4F4F4"/>
        </w:rPr>
        <w:t>r retirar palabras de toda la i</w:t>
      </w:r>
      <w:r w:rsidR="0023414F">
        <w:rPr>
          <w:rFonts w:cs="Arial"/>
          <w:color w:val="080808"/>
          <w:sz w:val="18"/>
          <w:szCs w:val="18"/>
          <w:shd w:val="clear" w:color="auto" w:fill="F4F4F4"/>
        </w:rPr>
        <w:t>m</w:t>
      </w:r>
      <w:r w:rsidR="00BB6ED5">
        <w:rPr>
          <w:rFonts w:cs="Arial"/>
          <w:color w:val="080808"/>
          <w:sz w:val="18"/>
          <w:szCs w:val="18"/>
          <w:shd w:val="clear" w:color="auto" w:fill="F4F4F4"/>
        </w:rPr>
        <w:t>a</w:t>
      </w:r>
      <w:r w:rsidR="0023414F">
        <w:rPr>
          <w:rFonts w:cs="Arial"/>
          <w:color w:val="080808"/>
          <w:sz w:val="18"/>
          <w:szCs w:val="18"/>
          <w:shd w:val="clear" w:color="auto" w:fill="F4F4F4"/>
        </w:rPr>
        <w:t>gen.</w:t>
      </w:r>
    </w:p>
  </w:comment>
  <w:comment w:id="5" w:author="Milena Salas" w:date="2020-11-02T23:51:00Z" w:initials="MS">
    <w:p w14:paraId="14A7A3D5" w14:textId="04E0D330" w:rsidR="00FD08BB" w:rsidRDefault="00FD08BB">
      <w:pPr>
        <w:pStyle w:val="Textocomentario"/>
      </w:pPr>
      <w:r>
        <w:rPr>
          <w:rStyle w:val="Refdecomentario"/>
        </w:rPr>
        <w:annotationRef/>
      </w:r>
      <w:r>
        <w:rPr>
          <w:rFonts w:cs="Arial"/>
          <w:color w:val="080808"/>
          <w:sz w:val="18"/>
          <w:szCs w:val="18"/>
          <w:shd w:val="clear" w:color="auto" w:fill="F4F4F4"/>
        </w:rPr>
        <w:t>1134579212</w:t>
      </w:r>
    </w:p>
  </w:comment>
  <w:comment w:id="6" w:author="Milena Salas" w:date="2020-11-02T23:53:00Z" w:initials="MS">
    <w:p w14:paraId="1DEDC334" w14:textId="69DB4B72" w:rsidR="00EC203E" w:rsidRDefault="00EC203E">
      <w:pPr>
        <w:pStyle w:val="Textocomentario"/>
      </w:pPr>
      <w:r>
        <w:rPr>
          <w:rStyle w:val="Refdecomentario"/>
        </w:rPr>
        <w:annotationRef/>
      </w:r>
      <w:r>
        <w:rPr>
          <w:rFonts w:cs="Arial"/>
          <w:color w:val="080808"/>
          <w:sz w:val="18"/>
          <w:szCs w:val="18"/>
          <w:shd w:val="clear" w:color="auto" w:fill="F4F4F4"/>
        </w:rPr>
        <w:t>165913671</w:t>
      </w:r>
    </w:p>
  </w:comment>
  <w:comment w:id="7" w:author="Milena Salas" w:date="2020-11-02T23:56:00Z" w:initials="MS">
    <w:p w14:paraId="1CEA3752" w14:textId="534857A4" w:rsidR="00EC203E" w:rsidRDefault="00EC203E">
      <w:pPr>
        <w:pStyle w:val="Textocomentario"/>
      </w:pPr>
      <w:r>
        <w:rPr>
          <w:rStyle w:val="Refdecomentario"/>
        </w:rPr>
        <w:annotationRef/>
      </w:r>
      <w:r w:rsidR="0007291F">
        <w:rPr>
          <w:rFonts w:cs="Arial"/>
          <w:color w:val="080808"/>
          <w:sz w:val="18"/>
          <w:szCs w:val="18"/>
          <w:shd w:val="clear" w:color="auto" w:fill="F4F4F4"/>
        </w:rPr>
        <w:t>472307427</w:t>
      </w:r>
    </w:p>
  </w:comment>
  <w:comment w:id="8" w:author="Milena Salas" w:date="2020-11-02T23:58:00Z" w:initials="MS">
    <w:p w14:paraId="19570D84" w14:textId="27C161F9" w:rsidR="0007291F" w:rsidRDefault="0007291F">
      <w:pPr>
        <w:pStyle w:val="Textocomentario"/>
      </w:pPr>
      <w:r>
        <w:rPr>
          <w:rStyle w:val="Refdecomentario"/>
        </w:rPr>
        <w:annotationRef/>
      </w:r>
      <w:r>
        <w:rPr>
          <w:rFonts w:cs="Arial"/>
          <w:color w:val="080808"/>
          <w:sz w:val="18"/>
          <w:szCs w:val="18"/>
          <w:shd w:val="clear" w:color="auto" w:fill="F4F4F4"/>
        </w:rPr>
        <w:t>1170365554</w:t>
      </w:r>
    </w:p>
  </w:comment>
  <w:comment w:id="9" w:author="Milena Salas" w:date="2020-11-02T23:59:00Z" w:initials="MS">
    <w:p w14:paraId="40D84940" w14:textId="16F35CA6" w:rsidR="0007291F" w:rsidRDefault="0007291F">
      <w:pPr>
        <w:pStyle w:val="Textocomentario"/>
      </w:pPr>
      <w:r>
        <w:rPr>
          <w:rStyle w:val="Refdecomentario"/>
        </w:rPr>
        <w:annotationRef/>
      </w:r>
      <w:r w:rsidR="00C57DB3">
        <w:rPr>
          <w:rFonts w:cs="Arial"/>
          <w:color w:val="080808"/>
          <w:sz w:val="18"/>
          <w:szCs w:val="18"/>
          <w:shd w:val="clear" w:color="auto" w:fill="F4F4F4"/>
        </w:rPr>
        <w:t>1210974449</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C3EB09" w15:done="0"/>
  <w15:commentEx w15:paraId="351CA60A" w15:done="0"/>
  <w15:commentEx w15:paraId="271AAB72" w15:done="0"/>
  <w15:commentEx w15:paraId="2144FC0C" w15:done="0"/>
  <w15:commentEx w15:paraId="14A7A3D5" w15:done="0"/>
  <w15:commentEx w15:paraId="1DEDC334" w15:done="0"/>
  <w15:commentEx w15:paraId="1CEA3752" w15:done="0"/>
  <w15:commentEx w15:paraId="19570D84" w15:done="0"/>
  <w15:commentEx w15:paraId="40D849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9B9"/>
    <w:multiLevelType w:val="hybridMultilevel"/>
    <w:tmpl w:val="CF4C1FAE"/>
    <w:lvl w:ilvl="0" w:tplc="DEDAFF06">
      <w:start w:val="1"/>
      <w:numFmt w:val="bullet"/>
      <w:lvlText w:val=""/>
      <w:lvlJc w:val="left"/>
      <w:pPr>
        <w:ind w:left="720" w:hanging="360"/>
      </w:pPr>
      <w:rPr>
        <w:rFonts w:ascii="Symbol" w:hAnsi="Symbol" w:hint="default"/>
      </w:rPr>
    </w:lvl>
    <w:lvl w:ilvl="1" w:tplc="47C229D6">
      <w:start w:val="1"/>
      <w:numFmt w:val="bullet"/>
      <w:lvlText w:val="o"/>
      <w:lvlJc w:val="left"/>
      <w:pPr>
        <w:ind w:left="1440" w:hanging="360"/>
      </w:pPr>
      <w:rPr>
        <w:rFonts w:ascii="Courier New" w:hAnsi="Courier New" w:hint="default"/>
      </w:rPr>
    </w:lvl>
    <w:lvl w:ilvl="2" w:tplc="3C34128C">
      <w:start w:val="1"/>
      <w:numFmt w:val="bullet"/>
      <w:lvlText w:val=""/>
      <w:lvlJc w:val="left"/>
      <w:pPr>
        <w:ind w:left="2160" w:hanging="360"/>
      </w:pPr>
      <w:rPr>
        <w:rFonts w:ascii="Wingdings" w:hAnsi="Wingdings" w:hint="default"/>
      </w:rPr>
    </w:lvl>
    <w:lvl w:ilvl="3" w:tplc="D710128A">
      <w:start w:val="1"/>
      <w:numFmt w:val="bullet"/>
      <w:lvlText w:val=""/>
      <w:lvlJc w:val="left"/>
      <w:pPr>
        <w:ind w:left="2880" w:hanging="360"/>
      </w:pPr>
      <w:rPr>
        <w:rFonts w:ascii="Symbol" w:hAnsi="Symbol" w:hint="default"/>
      </w:rPr>
    </w:lvl>
    <w:lvl w:ilvl="4" w:tplc="963E3766">
      <w:start w:val="1"/>
      <w:numFmt w:val="bullet"/>
      <w:lvlText w:val="o"/>
      <w:lvlJc w:val="left"/>
      <w:pPr>
        <w:ind w:left="3600" w:hanging="360"/>
      </w:pPr>
      <w:rPr>
        <w:rFonts w:ascii="Courier New" w:hAnsi="Courier New" w:hint="default"/>
      </w:rPr>
    </w:lvl>
    <w:lvl w:ilvl="5" w:tplc="A18E711A">
      <w:start w:val="1"/>
      <w:numFmt w:val="bullet"/>
      <w:lvlText w:val=""/>
      <w:lvlJc w:val="left"/>
      <w:pPr>
        <w:ind w:left="4320" w:hanging="360"/>
      </w:pPr>
      <w:rPr>
        <w:rFonts w:ascii="Wingdings" w:hAnsi="Wingdings" w:hint="default"/>
      </w:rPr>
    </w:lvl>
    <w:lvl w:ilvl="6" w:tplc="4F422998">
      <w:start w:val="1"/>
      <w:numFmt w:val="bullet"/>
      <w:lvlText w:val=""/>
      <w:lvlJc w:val="left"/>
      <w:pPr>
        <w:ind w:left="5040" w:hanging="360"/>
      </w:pPr>
      <w:rPr>
        <w:rFonts w:ascii="Symbol" w:hAnsi="Symbol" w:hint="default"/>
      </w:rPr>
    </w:lvl>
    <w:lvl w:ilvl="7" w:tplc="19EE08C4">
      <w:start w:val="1"/>
      <w:numFmt w:val="bullet"/>
      <w:lvlText w:val="o"/>
      <w:lvlJc w:val="left"/>
      <w:pPr>
        <w:ind w:left="5760" w:hanging="360"/>
      </w:pPr>
      <w:rPr>
        <w:rFonts w:ascii="Courier New" w:hAnsi="Courier New" w:hint="default"/>
      </w:rPr>
    </w:lvl>
    <w:lvl w:ilvl="8" w:tplc="BA60A710">
      <w:start w:val="1"/>
      <w:numFmt w:val="bullet"/>
      <w:lvlText w:val=""/>
      <w:lvlJc w:val="left"/>
      <w:pPr>
        <w:ind w:left="6480" w:hanging="360"/>
      </w:pPr>
      <w:rPr>
        <w:rFonts w:ascii="Wingdings" w:hAnsi="Wingdings" w:hint="default"/>
      </w:rPr>
    </w:lvl>
  </w:abstractNum>
  <w:abstractNum w:abstractNumId="1" w15:restartNumberingAfterBreak="0">
    <w:nsid w:val="270B1701"/>
    <w:multiLevelType w:val="hybridMultilevel"/>
    <w:tmpl w:val="5D7605AC"/>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CD42BC"/>
    <w:multiLevelType w:val="hybridMultilevel"/>
    <w:tmpl w:val="B374DBCC"/>
    <w:lvl w:ilvl="0" w:tplc="B268DF1A">
      <w:start w:val="1"/>
      <w:numFmt w:val="bullet"/>
      <w:lvlText w:val=""/>
      <w:lvlJc w:val="left"/>
      <w:pPr>
        <w:ind w:left="720" w:hanging="360"/>
      </w:pPr>
      <w:rPr>
        <w:rFonts w:ascii="Symbol" w:hAnsi="Symbol" w:hint="default"/>
      </w:rPr>
    </w:lvl>
    <w:lvl w:ilvl="1" w:tplc="846EFBAC">
      <w:start w:val="1"/>
      <w:numFmt w:val="bullet"/>
      <w:lvlText w:val="o"/>
      <w:lvlJc w:val="left"/>
      <w:pPr>
        <w:ind w:left="1440" w:hanging="360"/>
      </w:pPr>
      <w:rPr>
        <w:rFonts w:ascii="Courier New" w:hAnsi="Courier New" w:hint="default"/>
      </w:rPr>
    </w:lvl>
    <w:lvl w:ilvl="2" w:tplc="808E5D2C">
      <w:start w:val="1"/>
      <w:numFmt w:val="bullet"/>
      <w:lvlText w:val=""/>
      <w:lvlJc w:val="left"/>
      <w:pPr>
        <w:ind w:left="2160" w:hanging="360"/>
      </w:pPr>
      <w:rPr>
        <w:rFonts w:ascii="Wingdings" w:hAnsi="Wingdings" w:hint="default"/>
      </w:rPr>
    </w:lvl>
    <w:lvl w:ilvl="3" w:tplc="F07C46DE">
      <w:start w:val="1"/>
      <w:numFmt w:val="bullet"/>
      <w:lvlText w:val=""/>
      <w:lvlJc w:val="left"/>
      <w:pPr>
        <w:ind w:left="2880" w:hanging="360"/>
      </w:pPr>
      <w:rPr>
        <w:rFonts w:ascii="Symbol" w:hAnsi="Symbol" w:hint="default"/>
      </w:rPr>
    </w:lvl>
    <w:lvl w:ilvl="4" w:tplc="0CD0F3C2">
      <w:start w:val="1"/>
      <w:numFmt w:val="bullet"/>
      <w:lvlText w:val="o"/>
      <w:lvlJc w:val="left"/>
      <w:pPr>
        <w:ind w:left="3600" w:hanging="360"/>
      </w:pPr>
      <w:rPr>
        <w:rFonts w:ascii="Courier New" w:hAnsi="Courier New" w:hint="default"/>
      </w:rPr>
    </w:lvl>
    <w:lvl w:ilvl="5" w:tplc="254AFD88">
      <w:start w:val="1"/>
      <w:numFmt w:val="bullet"/>
      <w:lvlText w:val=""/>
      <w:lvlJc w:val="left"/>
      <w:pPr>
        <w:ind w:left="4320" w:hanging="360"/>
      </w:pPr>
      <w:rPr>
        <w:rFonts w:ascii="Wingdings" w:hAnsi="Wingdings" w:hint="default"/>
      </w:rPr>
    </w:lvl>
    <w:lvl w:ilvl="6" w:tplc="EE9C9DC4">
      <w:start w:val="1"/>
      <w:numFmt w:val="bullet"/>
      <w:lvlText w:val=""/>
      <w:lvlJc w:val="left"/>
      <w:pPr>
        <w:ind w:left="5040" w:hanging="360"/>
      </w:pPr>
      <w:rPr>
        <w:rFonts w:ascii="Symbol" w:hAnsi="Symbol" w:hint="default"/>
      </w:rPr>
    </w:lvl>
    <w:lvl w:ilvl="7" w:tplc="1346D2E4">
      <w:start w:val="1"/>
      <w:numFmt w:val="bullet"/>
      <w:lvlText w:val="o"/>
      <w:lvlJc w:val="left"/>
      <w:pPr>
        <w:ind w:left="5760" w:hanging="360"/>
      </w:pPr>
      <w:rPr>
        <w:rFonts w:ascii="Courier New" w:hAnsi="Courier New" w:hint="default"/>
      </w:rPr>
    </w:lvl>
    <w:lvl w:ilvl="8" w:tplc="30A6CB6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Salas">
    <w15:presenceInfo w15:providerId="None" w15:userId="Milen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14"/>
    <w:rsid w:val="0007291F"/>
    <w:rsid w:val="001B0342"/>
    <w:rsid w:val="001B1794"/>
    <w:rsid w:val="001F394B"/>
    <w:rsid w:val="0023414F"/>
    <w:rsid w:val="002E212D"/>
    <w:rsid w:val="004A0FE7"/>
    <w:rsid w:val="00586FB3"/>
    <w:rsid w:val="00683E79"/>
    <w:rsid w:val="006E736A"/>
    <w:rsid w:val="0070155F"/>
    <w:rsid w:val="00704FFC"/>
    <w:rsid w:val="00891F14"/>
    <w:rsid w:val="008D2DAB"/>
    <w:rsid w:val="00926F2C"/>
    <w:rsid w:val="0093068E"/>
    <w:rsid w:val="00A11AF8"/>
    <w:rsid w:val="00A30DFE"/>
    <w:rsid w:val="00A344D9"/>
    <w:rsid w:val="00A5270B"/>
    <w:rsid w:val="00A63A16"/>
    <w:rsid w:val="00A906B2"/>
    <w:rsid w:val="00BB5E78"/>
    <w:rsid w:val="00BB6ED5"/>
    <w:rsid w:val="00C04F2F"/>
    <w:rsid w:val="00C422F6"/>
    <w:rsid w:val="00C57DB3"/>
    <w:rsid w:val="00C62FB8"/>
    <w:rsid w:val="00D23E42"/>
    <w:rsid w:val="00D27DF8"/>
    <w:rsid w:val="00D54991"/>
    <w:rsid w:val="00D87A2B"/>
    <w:rsid w:val="00EC203E"/>
    <w:rsid w:val="00FD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A3B6"/>
  <w15:chartTrackingRefBased/>
  <w15:docId w15:val="{67A3EDE4-B90B-45AE-9C37-F9B6A9D0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F14"/>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91F14"/>
    <w:pPr>
      <w:ind w:left="720"/>
      <w:contextualSpacing/>
    </w:pPr>
  </w:style>
  <w:style w:type="table" w:styleId="Tablaconcuadrcula">
    <w:name w:val="Table Grid"/>
    <w:basedOn w:val="Tablanormal"/>
    <w:uiPriority w:val="59"/>
    <w:rsid w:val="00891F1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0342"/>
    <w:rPr>
      <w:sz w:val="16"/>
      <w:szCs w:val="16"/>
    </w:rPr>
  </w:style>
  <w:style w:type="paragraph" w:styleId="Textocomentario">
    <w:name w:val="annotation text"/>
    <w:basedOn w:val="Normal"/>
    <w:link w:val="TextocomentarioCar"/>
    <w:uiPriority w:val="99"/>
    <w:semiHidden/>
    <w:unhideWhenUsed/>
    <w:rsid w:val="001B0342"/>
    <w:rPr>
      <w:sz w:val="20"/>
    </w:rPr>
  </w:style>
  <w:style w:type="character" w:customStyle="1" w:styleId="TextocomentarioCar">
    <w:name w:val="Texto comentario Car"/>
    <w:basedOn w:val="Fuentedeprrafopredeter"/>
    <w:link w:val="Textocomentario"/>
    <w:uiPriority w:val="99"/>
    <w:semiHidden/>
    <w:rsid w:val="001B0342"/>
    <w:rPr>
      <w:rFonts w:ascii="Arial" w:eastAsia="Times New Roman" w:hAnsi="Arial"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1B0342"/>
    <w:rPr>
      <w:b/>
      <w:bCs/>
    </w:rPr>
  </w:style>
  <w:style w:type="character" w:customStyle="1" w:styleId="AsuntodelcomentarioCar">
    <w:name w:val="Asunto del comentario Car"/>
    <w:basedOn w:val="TextocomentarioCar"/>
    <w:link w:val="Asuntodelcomentario"/>
    <w:uiPriority w:val="99"/>
    <w:semiHidden/>
    <w:rsid w:val="001B0342"/>
    <w:rPr>
      <w:rFonts w:ascii="Arial" w:eastAsia="Times New Roman" w:hAnsi="Arial" w:cs="Times New Roman"/>
      <w:b/>
      <w:bCs/>
      <w:sz w:val="20"/>
      <w:szCs w:val="20"/>
      <w:lang w:val="es-CO" w:eastAsia="es-CO"/>
    </w:rPr>
  </w:style>
  <w:style w:type="paragraph" w:styleId="Textodeglobo">
    <w:name w:val="Balloon Text"/>
    <w:basedOn w:val="Normal"/>
    <w:link w:val="TextodegloboCar"/>
    <w:uiPriority w:val="99"/>
    <w:semiHidden/>
    <w:unhideWhenUsed/>
    <w:rsid w:val="001B03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342"/>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664</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31</cp:revision>
  <dcterms:created xsi:type="dcterms:W3CDTF">2020-11-03T03:59:00Z</dcterms:created>
  <dcterms:modified xsi:type="dcterms:W3CDTF">2020-11-03T05:02:00Z</dcterms:modified>
</cp:coreProperties>
</file>