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FB" w:rsidRPr="0020158F" w:rsidRDefault="007A40FB" w:rsidP="007A40FB">
      <w:pPr>
        <w:jc w:val="center"/>
        <w:rPr>
          <w:rFonts w:ascii="Arial" w:hAnsi="Arial" w:cs="Arial"/>
          <w:b/>
          <w:sz w:val="24"/>
          <w:szCs w:val="24"/>
        </w:rPr>
      </w:pPr>
      <w:r w:rsidRPr="0020158F">
        <w:rPr>
          <w:rFonts w:ascii="Arial" w:hAnsi="Arial" w:cs="Arial"/>
          <w:b/>
          <w:sz w:val="24"/>
          <w:szCs w:val="24"/>
          <w:lang w:val="es-MX"/>
        </w:rPr>
        <w:t xml:space="preserve">Actividad – </w:t>
      </w:r>
      <w:r w:rsidRPr="0020158F">
        <w:rPr>
          <w:rFonts w:ascii="Arial" w:hAnsi="Arial" w:cs="Arial"/>
          <w:b/>
          <w:sz w:val="24"/>
          <w:szCs w:val="24"/>
          <w:lang w:val="es-MX"/>
        </w:rPr>
        <w:t>Riesgos</w:t>
      </w:r>
    </w:p>
    <w:p w:rsidR="007A40FB" w:rsidRPr="0020158F" w:rsidRDefault="007A40FB" w:rsidP="007A40FB">
      <w:pPr>
        <w:jc w:val="center"/>
        <w:rPr>
          <w:rFonts w:ascii="Arial" w:hAnsi="Arial" w:cs="Arial"/>
          <w:b/>
          <w:sz w:val="24"/>
          <w:szCs w:val="24"/>
          <w:lang w:val="es-MX"/>
        </w:rPr>
      </w:pPr>
      <w:r w:rsidRPr="0020158F">
        <w:rPr>
          <w:rFonts w:ascii="Arial" w:hAnsi="Arial" w:cs="Arial"/>
          <w:b/>
          <w:sz w:val="24"/>
          <w:szCs w:val="24"/>
          <w:lang w:val="es-MX"/>
        </w:rPr>
        <w:t>Emparejamiento</w:t>
      </w:r>
    </w:p>
    <w:p w:rsidR="007A40FB" w:rsidRPr="0020158F" w:rsidRDefault="007A40FB" w:rsidP="007A40FB">
      <w:pPr>
        <w:jc w:val="center"/>
        <w:rPr>
          <w:rFonts w:ascii="Arial" w:hAnsi="Arial" w:cs="Arial"/>
          <w:sz w:val="24"/>
          <w:szCs w:val="24"/>
          <w:lang w:val="es-MX"/>
        </w:rPr>
      </w:pPr>
    </w:p>
    <w:p w:rsidR="007A40FB" w:rsidRPr="0020158F" w:rsidRDefault="007A40FB" w:rsidP="007A40FB">
      <w:pPr>
        <w:jc w:val="both"/>
        <w:outlineLvl w:val="0"/>
        <w:rPr>
          <w:rFonts w:ascii="Arial" w:hAnsi="Arial" w:cs="Arial"/>
          <w:sz w:val="24"/>
          <w:szCs w:val="24"/>
          <w:shd w:val="clear" w:color="auto" w:fill="FFFFFF"/>
        </w:rPr>
      </w:pPr>
      <w:r w:rsidRPr="0020158F">
        <w:rPr>
          <w:rFonts w:ascii="Arial" w:hAnsi="Arial" w:cs="Arial"/>
          <w:b/>
          <w:kern w:val="36"/>
          <w:sz w:val="24"/>
          <w:szCs w:val="24"/>
        </w:rPr>
        <w:t>Instrucción:</w:t>
      </w:r>
      <w:r w:rsidRPr="0020158F">
        <w:rPr>
          <w:rFonts w:ascii="Arial" w:hAnsi="Arial" w:cs="Arial"/>
          <w:kern w:val="36"/>
          <w:sz w:val="24"/>
          <w:szCs w:val="24"/>
        </w:rPr>
        <w:t xml:space="preserve"> realizar actividad de relacionar columnas</w:t>
      </w:r>
      <w:r w:rsidRPr="0020158F">
        <w:rPr>
          <w:rFonts w:ascii="Arial" w:hAnsi="Arial" w:cs="Arial"/>
          <w:sz w:val="24"/>
          <w:szCs w:val="24"/>
        </w:rPr>
        <w:t xml:space="preserve"> </w:t>
      </w:r>
      <w:r w:rsidRPr="0020158F">
        <w:rPr>
          <w:rFonts w:ascii="Arial" w:hAnsi="Arial" w:cs="Arial"/>
          <w:sz w:val="24"/>
          <w:szCs w:val="24"/>
          <w:shd w:val="clear" w:color="auto" w:fill="FFFFFF"/>
        </w:rPr>
        <w:t xml:space="preserve">(emparejamiento): la primera columna contiene conceptos y la segunda las respectivas definiciones. El estudiante debe relacionar conceptos con definiciones. La tabla muestra la solución, pero se deben poner en desorden para efectos de la actividad. </w:t>
      </w:r>
    </w:p>
    <w:p w:rsidR="007A40FB" w:rsidRPr="0020158F" w:rsidRDefault="007A40FB" w:rsidP="007A40FB">
      <w:pPr>
        <w:outlineLvl w:val="0"/>
        <w:rPr>
          <w:rFonts w:ascii="Arial" w:hAnsi="Arial" w:cs="Arial"/>
          <w:sz w:val="24"/>
          <w:szCs w:val="24"/>
          <w:shd w:val="clear" w:color="auto" w:fill="FFFFFF"/>
        </w:rPr>
      </w:pPr>
    </w:p>
    <w:p w:rsidR="007A40FB" w:rsidRPr="0020158F" w:rsidRDefault="007A40FB" w:rsidP="007A40FB">
      <w:pPr>
        <w:jc w:val="center"/>
        <w:outlineLvl w:val="0"/>
        <w:rPr>
          <w:rFonts w:ascii="Arial" w:hAnsi="Arial" w:cs="Arial"/>
          <w:sz w:val="24"/>
          <w:szCs w:val="24"/>
          <w:lang w:val="es-MX"/>
        </w:rPr>
      </w:pPr>
      <w:r w:rsidRPr="0020158F">
        <w:rPr>
          <w:rFonts w:ascii="Arial" w:hAnsi="Arial" w:cs="Arial"/>
          <w:color w:val="4472C4" w:themeColor="accent5"/>
          <w:sz w:val="24"/>
          <w:szCs w:val="24"/>
          <w:shd w:val="clear" w:color="auto" w:fill="FFFFFF"/>
        </w:rPr>
        <w:t>Empareje los conceptos de la columna izquierda con las definiciones de la columna derecha:</w:t>
      </w:r>
    </w:p>
    <w:p w:rsidR="007A40FB" w:rsidRPr="0020158F" w:rsidRDefault="007A40FB" w:rsidP="007A40FB">
      <w:pPr>
        <w:rPr>
          <w:rFonts w:ascii="Arial" w:hAnsi="Arial" w:cs="Arial"/>
          <w:sz w:val="24"/>
          <w:szCs w:val="24"/>
          <w:lang w:val="es-MX"/>
        </w:rPr>
      </w:pPr>
    </w:p>
    <w:p w:rsidR="007A40FB" w:rsidRPr="0020158F" w:rsidRDefault="007A40FB" w:rsidP="007A40FB">
      <w:pPr>
        <w:rPr>
          <w:rFonts w:ascii="Arial" w:hAnsi="Arial" w:cs="Arial"/>
          <w:sz w:val="24"/>
          <w:szCs w:val="24"/>
        </w:rPr>
      </w:pPr>
    </w:p>
    <w:tbl>
      <w:tblPr>
        <w:tblStyle w:val="Tablaconcuadrcula"/>
        <w:tblW w:w="0" w:type="auto"/>
        <w:tblLook w:val="06A0" w:firstRow="1" w:lastRow="0" w:firstColumn="1" w:lastColumn="0" w:noHBand="1" w:noVBand="1"/>
      </w:tblPr>
      <w:tblGrid>
        <w:gridCol w:w="2430"/>
        <w:gridCol w:w="6212"/>
      </w:tblGrid>
      <w:tr w:rsidR="007A40FB" w:rsidRPr="0020158F" w:rsidTr="00757ABA">
        <w:trPr>
          <w:tblHeader/>
        </w:trPr>
        <w:tc>
          <w:tcPr>
            <w:tcW w:w="2430" w:type="dxa"/>
          </w:tcPr>
          <w:p w:rsidR="007A40FB" w:rsidRPr="0020158F" w:rsidRDefault="007A40FB" w:rsidP="00757ABA">
            <w:pPr>
              <w:jc w:val="center"/>
              <w:rPr>
                <w:rFonts w:ascii="Arial" w:hAnsi="Arial" w:cs="Arial"/>
                <w:b/>
                <w:bCs/>
                <w:color w:val="000000" w:themeColor="text1"/>
              </w:rPr>
            </w:pPr>
            <w:r w:rsidRPr="0020158F">
              <w:rPr>
                <w:rFonts w:ascii="Arial" w:hAnsi="Arial" w:cs="Arial"/>
                <w:b/>
                <w:bCs/>
                <w:color w:val="000000" w:themeColor="text1"/>
              </w:rPr>
              <w:t>CONCEPTO</w:t>
            </w:r>
          </w:p>
        </w:tc>
        <w:tc>
          <w:tcPr>
            <w:tcW w:w="6212" w:type="dxa"/>
          </w:tcPr>
          <w:p w:rsidR="007A40FB" w:rsidRPr="0020158F" w:rsidRDefault="007A40FB" w:rsidP="00757ABA">
            <w:pPr>
              <w:jc w:val="center"/>
              <w:rPr>
                <w:rFonts w:ascii="Arial" w:hAnsi="Arial" w:cs="Arial"/>
                <w:b/>
                <w:bCs/>
                <w:color w:val="000000" w:themeColor="text1"/>
              </w:rPr>
            </w:pPr>
            <w:r w:rsidRPr="0020158F">
              <w:rPr>
                <w:rFonts w:ascii="Arial" w:hAnsi="Arial" w:cs="Arial"/>
                <w:b/>
                <w:bCs/>
                <w:color w:val="000000" w:themeColor="text1"/>
              </w:rPr>
              <w:t>DEFINICIÓN</w:t>
            </w:r>
          </w:p>
        </w:tc>
      </w:tr>
      <w:tr w:rsidR="007A40FB" w:rsidRPr="0020158F" w:rsidTr="00757ABA">
        <w:tc>
          <w:tcPr>
            <w:tcW w:w="2430" w:type="dxa"/>
          </w:tcPr>
          <w:p w:rsidR="007A40FB" w:rsidRPr="0020158F" w:rsidRDefault="007A40FB" w:rsidP="00EB6B5D">
            <w:pPr>
              <w:rPr>
                <w:rFonts w:ascii="Arial" w:hAnsi="Arial" w:cs="Arial"/>
                <w:b/>
                <w:bCs/>
                <w:color w:val="000000" w:themeColor="text1"/>
              </w:rPr>
            </w:pPr>
            <w:r w:rsidRPr="0020158F">
              <w:rPr>
                <w:rFonts w:ascii="Arial" w:hAnsi="Arial" w:cs="Arial"/>
                <w:b/>
                <w:bCs/>
                <w:color w:val="000000" w:themeColor="text1"/>
              </w:rPr>
              <w:t>Riesgo l</w:t>
            </w:r>
            <w:r w:rsidRPr="0020158F">
              <w:rPr>
                <w:rFonts w:ascii="Arial" w:hAnsi="Arial" w:cs="Arial"/>
                <w:b/>
                <w:bCs/>
                <w:color w:val="000000" w:themeColor="text1"/>
              </w:rPr>
              <w:t>ocativo</w:t>
            </w:r>
          </w:p>
        </w:tc>
        <w:tc>
          <w:tcPr>
            <w:tcW w:w="6212" w:type="dxa"/>
          </w:tcPr>
          <w:p w:rsidR="00712819" w:rsidRPr="0020158F" w:rsidRDefault="00712819" w:rsidP="00712819">
            <w:pPr>
              <w:pStyle w:val="NormalWeb"/>
              <w:spacing w:before="0" w:beforeAutospacing="0" w:after="0" w:afterAutospacing="0" w:line="210" w:lineRule="atLeast"/>
              <w:jc w:val="both"/>
              <w:rPr>
                <w:rFonts w:ascii="Arial" w:hAnsi="Arial" w:cs="Arial"/>
                <w:sz w:val="24"/>
                <w:szCs w:val="24"/>
              </w:rPr>
            </w:pPr>
            <w:r w:rsidRPr="0020158F">
              <w:rPr>
                <w:rFonts w:ascii="Arial" w:hAnsi="Arial" w:cs="Arial"/>
                <w:color w:val="000000" w:themeColor="text1"/>
                <w:sz w:val="24"/>
                <w:szCs w:val="24"/>
                <w:lang w:val="es-CO"/>
              </w:rPr>
              <w:t>Está asociado a uno de los riesgos que genera mayor accidentalidad entre los trabajadores, ya que hace parte de una condición permanente de la labor, entre las acciones que se derivan del riesgo locativo se encuentran condiciones de orden y aseo, señalización, estado de techos, puertas, paredes y vías de tránsito. De acuerdo a la Resolución 2400 de 1979.</w:t>
            </w:r>
          </w:p>
          <w:p w:rsidR="00712819" w:rsidRPr="0020158F" w:rsidRDefault="00712819" w:rsidP="0090677F">
            <w:pPr>
              <w:rPr>
                <w:rFonts w:ascii="Arial" w:hAnsi="Arial" w:cs="Arial"/>
                <w:color w:val="000000" w:themeColor="text1"/>
                <w:lang w:val="es-ES_tradnl"/>
              </w:rPr>
            </w:pPr>
          </w:p>
          <w:p w:rsidR="007A40FB" w:rsidRPr="0020158F" w:rsidRDefault="007A40FB" w:rsidP="0090677F">
            <w:pPr>
              <w:rPr>
                <w:rFonts w:ascii="Arial" w:hAnsi="Arial" w:cs="Arial"/>
              </w:rPr>
            </w:pPr>
          </w:p>
        </w:tc>
      </w:tr>
      <w:tr w:rsidR="007A40FB" w:rsidRPr="0020158F" w:rsidTr="00757ABA">
        <w:tc>
          <w:tcPr>
            <w:tcW w:w="2430" w:type="dxa"/>
          </w:tcPr>
          <w:p w:rsidR="007A40FB" w:rsidRPr="0020158F" w:rsidRDefault="007A40FB" w:rsidP="00EB6B5D">
            <w:pPr>
              <w:rPr>
                <w:rFonts w:ascii="Arial" w:hAnsi="Arial" w:cs="Arial"/>
                <w:b/>
                <w:bCs/>
                <w:color w:val="000000" w:themeColor="text1"/>
              </w:rPr>
            </w:pPr>
            <w:r w:rsidRPr="0020158F">
              <w:rPr>
                <w:rFonts w:ascii="Arial" w:hAnsi="Arial" w:cs="Arial"/>
                <w:b/>
                <w:bCs/>
                <w:color w:val="000000" w:themeColor="text1"/>
              </w:rPr>
              <w:t>Riesgo f</w:t>
            </w:r>
            <w:r w:rsidRPr="0020158F">
              <w:rPr>
                <w:rFonts w:ascii="Arial" w:hAnsi="Arial" w:cs="Arial"/>
                <w:b/>
                <w:bCs/>
                <w:color w:val="000000" w:themeColor="text1"/>
              </w:rPr>
              <w:t>ísico</w:t>
            </w:r>
          </w:p>
        </w:tc>
        <w:tc>
          <w:tcPr>
            <w:tcW w:w="6212" w:type="dxa"/>
          </w:tcPr>
          <w:p w:rsidR="007A40FB" w:rsidRPr="0020158F" w:rsidRDefault="001B34FF" w:rsidP="007A40FB">
            <w:pPr>
              <w:pStyle w:val="NormalWeb"/>
              <w:spacing w:before="0" w:beforeAutospacing="0" w:after="0" w:afterAutospacing="0"/>
              <w:jc w:val="both"/>
              <w:rPr>
                <w:rFonts w:ascii="Arial" w:hAnsi="Arial" w:cs="Arial"/>
                <w:b/>
                <w:bCs/>
                <w:color w:val="000000" w:themeColor="text1"/>
                <w:sz w:val="24"/>
                <w:szCs w:val="24"/>
              </w:rPr>
            </w:pPr>
            <w:r w:rsidRPr="0020158F">
              <w:rPr>
                <w:rFonts w:ascii="Arial" w:hAnsi="Arial" w:cs="Arial"/>
                <w:color w:val="000000" w:themeColor="text1"/>
                <w:sz w:val="24"/>
                <w:szCs w:val="24"/>
              </w:rPr>
              <w:t>Son agentes asociados a un intercambio de energía entre los individuos y el ambiente</w:t>
            </w:r>
            <w:r w:rsidR="00757ABA" w:rsidRPr="0020158F">
              <w:rPr>
                <w:rFonts w:ascii="Arial" w:hAnsi="Arial" w:cs="Arial"/>
                <w:color w:val="000000" w:themeColor="text1"/>
                <w:sz w:val="24"/>
                <w:szCs w:val="24"/>
              </w:rPr>
              <w:t>,</w:t>
            </w:r>
            <w:r w:rsidRPr="0020158F">
              <w:rPr>
                <w:rFonts w:ascii="Arial" w:hAnsi="Arial" w:cs="Arial"/>
                <w:color w:val="000000" w:themeColor="text1"/>
                <w:sz w:val="24"/>
                <w:szCs w:val="24"/>
              </w:rPr>
              <w:t xml:space="preserve"> los cuales tienen una potencia mayor de lo que puede soportar el cuerpo humano, es por esto, que este podría provocar una enfermedad laboral.</w:t>
            </w:r>
          </w:p>
        </w:tc>
      </w:tr>
      <w:tr w:rsidR="007A40FB" w:rsidRPr="0020158F" w:rsidTr="00757ABA">
        <w:tc>
          <w:tcPr>
            <w:tcW w:w="2430" w:type="dxa"/>
          </w:tcPr>
          <w:p w:rsidR="007A40FB" w:rsidRPr="0020158F" w:rsidRDefault="007A40FB" w:rsidP="00EB6B5D">
            <w:pPr>
              <w:rPr>
                <w:rFonts w:ascii="Arial" w:hAnsi="Arial" w:cs="Arial"/>
                <w:b/>
                <w:bCs/>
              </w:rPr>
            </w:pPr>
            <w:r w:rsidRPr="0020158F">
              <w:rPr>
                <w:rFonts w:ascii="Arial" w:hAnsi="Arial" w:cs="Arial"/>
                <w:b/>
                <w:bCs/>
              </w:rPr>
              <w:t>Riesgo b</w:t>
            </w:r>
            <w:r w:rsidRPr="0020158F">
              <w:rPr>
                <w:rFonts w:ascii="Arial" w:hAnsi="Arial" w:cs="Arial"/>
                <w:b/>
                <w:bCs/>
              </w:rPr>
              <w:t>iológico</w:t>
            </w:r>
          </w:p>
        </w:tc>
        <w:tc>
          <w:tcPr>
            <w:tcW w:w="6212" w:type="dxa"/>
          </w:tcPr>
          <w:p w:rsidR="007A40FB" w:rsidRPr="0020158F" w:rsidRDefault="00712819" w:rsidP="00757ABA">
            <w:pPr>
              <w:pStyle w:val="NormalWeb"/>
              <w:spacing w:before="0" w:beforeAutospacing="0" w:after="0" w:afterAutospacing="0" w:line="210" w:lineRule="atLeast"/>
              <w:jc w:val="both"/>
              <w:rPr>
                <w:rFonts w:ascii="Arial" w:hAnsi="Arial" w:cs="Arial"/>
                <w:b/>
                <w:bCs/>
                <w:color w:val="000000" w:themeColor="text1"/>
                <w:sz w:val="24"/>
                <w:szCs w:val="24"/>
              </w:rPr>
            </w:pPr>
            <w:r w:rsidRPr="0020158F">
              <w:rPr>
                <w:rFonts w:ascii="Arial" w:hAnsi="Arial" w:cs="Arial"/>
                <w:color w:val="000000" w:themeColor="text1"/>
                <w:sz w:val="24"/>
                <w:szCs w:val="24"/>
                <w:lang w:val="es-CO"/>
              </w:rPr>
              <w:t>Está asociado a la presencia de un organismo o a la sustancia derivada de un organismo, el cual es considerado como una amenaza a la salud humana causando</w:t>
            </w:r>
            <w:r w:rsidR="00757ABA" w:rsidRPr="0020158F">
              <w:rPr>
                <w:rFonts w:ascii="Arial" w:hAnsi="Arial" w:cs="Arial"/>
                <w:color w:val="000000" w:themeColor="text1"/>
                <w:sz w:val="24"/>
                <w:szCs w:val="24"/>
                <w:lang w:val="es-CO"/>
              </w:rPr>
              <w:t>,</w:t>
            </w:r>
            <w:r w:rsidRPr="0020158F">
              <w:rPr>
                <w:rFonts w:ascii="Arial" w:hAnsi="Arial" w:cs="Arial"/>
                <w:color w:val="000000" w:themeColor="text1"/>
                <w:sz w:val="24"/>
                <w:szCs w:val="24"/>
                <w:lang w:val="es-CO"/>
              </w:rPr>
              <w:t xml:space="preserve"> de esta manera</w:t>
            </w:r>
            <w:r w:rsidR="00757ABA" w:rsidRPr="0020158F">
              <w:rPr>
                <w:rFonts w:ascii="Arial" w:hAnsi="Arial" w:cs="Arial"/>
                <w:color w:val="000000" w:themeColor="text1"/>
                <w:sz w:val="24"/>
                <w:szCs w:val="24"/>
                <w:lang w:val="es-CO"/>
              </w:rPr>
              <w:t>,</w:t>
            </w:r>
            <w:r w:rsidRPr="0020158F">
              <w:rPr>
                <w:rFonts w:ascii="Arial" w:hAnsi="Arial" w:cs="Arial"/>
                <w:color w:val="000000" w:themeColor="text1"/>
                <w:sz w:val="24"/>
                <w:szCs w:val="24"/>
                <w:lang w:val="es-CO"/>
              </w:rPr>
              <w:t xml:space="preserve"> enfermedades de origen común.</w:t>
            </w:r>
          </w:p>
        </w:tc>
      </w:tr>
      <w:tr w:rsidR="007A40FB" w:rsidRPr="0020158F" w:rsidTr="00757ABA">
        <w:tc>
          <w:tcPr>
            <w:tcW w:w="2430" w:type="dxa"/>
          </w:tcPr>
          <w:p w:rsidR="007A40FB" w:rsidRPr="0020158F" w:rsidRDefault="007A40FB" w:rsidP="00EB6B5D">
            <w:pPr>
              <w:rPr>
                <w:rFonts w:ascii="Arial" w:hAnsi="Arial" w:cs="Arial"/>
                <w:b/>
                <w:bCs/>
                <w:color w:val="000000" w:themeColor="text1"/>
              </w:rPr>
            </w:pPr>
            <w:r w:rsidRPr="0020158F">
              <w:rPr>
                <w:rFonts w:ascii="Arial" w:hAnsi="Arial" w:cs="Arial"/>
                <w:b/>
                <w:bCs/>
                <w:color w:val="000000" w:themeColor="text1"/>
              </w:rPr>
              <w:t>Riesgo q</w:t>
            </w:r>
            <w:r w:rsidRPr="0020158F">
              <w:rPr>
                <w:rFonts w:ascii="Arial" w:hAnsi="Arial" w:cs="Arial"/>
                <w:b/>
                <w:bCs/>
                <w:color w:val="000000" w:themeColor="text1"/>
              </w:rPr>
              <w:t>uímico</w:t>
            </w:r>
          </w:p>
        </w:tc>
        <w:tc>
          <w:tcPr>
            <w:tcW w:w="6212" w:type="dxa"/>
          </w:tcPr>
          <w:p w:rsidR="007A40FB" w:rsidRPr="0020158F" w:rsidRDefault="00712819" w:rsidP="005515F9">
            <w:pPr>
              <w:pStyle w:val="NormalWeb"/>
              <w:spacing w:before="0" w:beforeAutospacing="0" w:after="0" w:afterAutospacing="0" w:line="210" w:lineRule="atLeast"/>
              <w:jc w:val="both"/>
              <w:rPr>
                <w:rFonts w:ascii="Arial" w:hAnsi="Arial" w:cs="Arial"/>
                <w:b/>
                <w:bCs/>
                <w:color w:val="000000" w:themeColor="text1"/>
                <w:sz w:val="24"/>
                <w:szCs w:val="24"/>
              </w:rPr>
            </w:pPr>
            <w:r w:rsidRPr="0020158F">
              <w:rPr>
                <w:rFonts w:ascii="Arial" w:hAnsi="Arial" w:cs="Arial"/>
                <w:color w:val="000000" w:themeColor="text1"/>
                <w:sz w:val="24"/>
                <w:szCs w:val="24"/>
              </w:rPr>
              <w:t>Son agentes ambientales que se encuentran presentes en el aire con potencial daño a la salud</w:t>
            </w:r>
            <w:r w:rsidR="00E77386" w:rsidRPr="0020158F">
              <w:rPr>
                <w:rFonts w:ascii="Arial" w:hAnsi="Arial" w:cs="Arial"/>
                <w:color w:val="000000" w:themeColor="text1"/>
                <w:sz w:val="24"/>
                <w:szCs w:val="24"/>
              </w:rPr>
              <w:t>,</w:t>
            </w:r>
            <w:r w:rsidRPr="0020158F">
              <w:rPr>
                <w:rFonts w:ascii="Arial" w:hAnsi="Arial" w:cs="Arial"/>
                <w:color w:val="000000" w:themeColor="text1"/>
                <w:sz w:val="24"/>
                <w:szCs w:val="24"/>
              </w:rPr>
              <w:t xml:space="preserve"> causadas por la exposición no controlada a agentes químicos de diversa naturaleza, la gravedad de dichos riesgos depende de factores como la naturaleza de los agentes químicos, su concentración o el tiempo y la vía de exposición</w:t>
            </w:r>
            <w:r w:rsidR="00E77386" w:rsidRPr="0020158F">
              <w:rPr>
                <w:rFonts w:ascii="Arial" w:hAnsi="Arial" w:cs="Arial"/>
                <w:color w:val="000000" w:themeColor="text1"/>
                <w:sz w:val="24"/>
                <w:szCs w:val="24"/>
              </w:rPr>
              <w:t>. L</w:t>
            </w:r>
            <w:r w:rsidRPr="0020158F">
              <w:rPr>
                <w:rFonts w:ascii="Arial" w:hAnsi="Arial" w:cs="Arial"/>
                <w:color w:val="000000" w:themeColor="text1"/>
                <w:sz w:val="24"/>
                <w:szCs w:val="24"/>
              </w:rPr>
              <w:t xml:space="preserve">as vías de </w:t>
            </w:r>
            <w:r w:rsidR="00E77386" w:rsidRPr="0020158F">
              <w:rPr>
                <w:rFonts w:ascii="Arial" w:hAnsi="Arial" w:cs="Arial"/>
                <w:color w:val="000000" w:themeColor="text1"/>
                <w:sz w:val="24"/>
                <w:szCs w:val="24"/>
              </w:rPr>
              <w:t>ingreso son a través de las vía</w:t>
            </w:r>
            <w:r w:rsidRPr="0020158F">
              <w:rPr>
                <w:rFonts w:ascii="Arial" w:hAnsi="Arial" w:cs="Arial"/>
                <w:color w:val="000000" w:themeColor="text1"/>
                <w:sz w:val="24"/>
                <w:szCs w:val="24"/>
              </w:rPr>
              <w:t xml:space="preserve"> resp</w:t>
            </w:r>
            <w:r w:rsidR="00E77386" w:rsidRPr="0020158F">
              <w:rPr>
                <w:rFonts w:ascii="Arial" w:hAnsi="Arial" w:cs="Arial"/>
                <w:color w:val="000000" w:themeColor="text1"/>
                <w:sz w:val="24"/>
                <w:szCs w:val="24"/>
              </w:rPr>
              <w:t xml:space="preserve">iratoria, digestiva y cutánea, </w:t>
            </w:r>
            <w:r w:rsidRPr="0020158F">
              <w:rPr>
                <w:rFonts w:ascii="Arial" w:hAnsi="Arial" w:cs="Arial"/>
                <w:color w:val="000000" w:themeColor="text1"/>
                <w:sz w:val="24"/>
                <w:szCs w:val="24"/>
              </w:rPr>
              <w:t>cuya exposición en el trabajador podría causar una enfermedad laboral.</w:t>
            </w:r>
          </w:p>
        </w:tc>
      </w:tr>
      <w:tr w:rsidR="007A40FB" w:rsidRPr="0020158F" w:rsidTr="00757ABA">
        <w:tc>
          <w:tcPr>
            <w:tcW w:w="2430" w:type="dxa"/>
          </w:tcPr>
          <w:p w:rsidR="007A40FB" w:rsidRPr="0020158F" w:rsidRDefault="007A40FB" w:rsidP="00EB6B5D">
            <w:pPr>
              <w:rPr>
                <w:rFonts w:ascii="Arial" w:hAnsi="Arial" w:cs="Arial"/>
                <w:b/>
                <w:bCs/>
                <w:color w:val="000000" w:themeColor="text1"/>
              </w:rPr>
            </w:pPr>
            <w:r w:rsidRPr="0020158F">
              <w:rPr>
                <w:rFonts w:ascii="Arial" w:hAnsi="Arial" w:cs="Arial"/>
                <w:b/>
                <w:bCs/>
                <w:color w:val="000000" w:themeColor="text1"/>
              </w:rPr>
              <w:lastRenderedPageBreak/>
              <w:t>Riesgo de i</w:t>
            </w:r>
            <w:r w:rsidRPr="0020158F">
              <w:rPr>
                <w:rFonts w:ascii="Arial" w:hAnsi="Arial" w:cs="Arial"/>
                <w:b/>
                <w:bCs/>
                <w:color w:val="000000" w:themeColor="text1"/>
              </w:rPr>
              <w:t>ncendio y explosión</w:t>
            </w:r>
          </w:p>
        </w:tc>
        <w:tc>
          <w:tcPr>
            <w:tcW w:w="6212" w:type="dxa"/>
          </w:tcPr>
          <w:p w:rsidR="00FF5847" w:rsidRPr="0020158F" w:rsidRDefault="00FF5847" w:rsidP="00FF5847">
            <w:pPr>
              <w:pStyle w:val="NormalWeb"/>
              <w:spacing w:before="0" w:beforeAutospacing="0" w:after="0" w:afterAutospacing="0" w:line="210" w:lineRule="atLeast"/>
              <w:jc w:val="both"/>
              <w:rPr>
                <w:rFonts w:ascii="Arial" w:hAnsi="Arial" w:cs="Arial"/>
                <w:sz w:val="24"/>
                <w:szCs w:val="24"/>
              </w:rPr>
            </w:pPr>
            <w:r w:rsidRPr="0020158F">
              <w:rPr>
                <w:rFonts w:ascii="Arial" w:hAnsi="Arial" w:cs="Arial"/>
                <w:bCs/>
                <w:color w:val="000000" w:themeColor="text1"/>
                <w:sz w:val="24"/>
                <w:szCs w:val="24"/>
                <w:lang w:val="es-CO"/>
              </w:rPr>
              <w:t>Los</w:t>
            </w:r>
            <w:r w:rsidRPr="0020158F">
              <w:rPr>
                <w:rFonts w:ascii="Arial" w:hAnsi="Arial" w:cs="Arial"/>
                <w:color w:val="000000" w:themeColor="text1"/>
                <w:sz w:val="24"/>
                <w:szCs w:val="24"/>
                <w:lang w:val="es-CO"/>
              </w:rPr>
              <w:t xml:space="preserve"> incendios y explosión es una de las consecuencias relacionadas a los riesgos tecnológicos</w:t>
            </w:r>
            <w:r w:rsidR="005515F9" w:rsidRPr="0020158F">
              <w:rPr>
                <w:rFonts w:ascii="Arial" w:hAnsi="Arial" w:cs="Arial"/>
                <w:color w:val="000000" w:themeColor="text1"/>
                <w:sz w:val="24"/>
                <w:szCs w:val="24"/>
                <w:lang w:val="es-CO"/>
              </w:rPr>
              <w:t xml:space="preserve">, los cuales, </w:t>
            </w:r>
            <w:r w:rsidRPr="0020158F">
              <w:rPr>
                <w:rFonts w:ascii="Arial" w:hAnsi="Arial" w:cs="Arial"/>
                <w:color w:val="000000" w:themeColor="text1"/>
                <w:sz w:val="24"/>
                <w:szCs w:val="24"/>
                <w:lang w:val="es-CO"/>
              </w:rPr>
              <w:t>si se llegase a materializar en las organizaciones traería pérdi</w:t>
            </w:r>
            <w:bookmarkStart w:id="0" w:name="_GoBack"/>
            <w:bookmarkEnd w:id="0"/>
            <w:r w:rsidRPr="0020158F">
              <w:rPr>
                <w:rFonts w:ascii="Arial" w:hAnsi="Arial" w:cs="Arial"/>
                <w:color w:val="000000" w:themeColor="text1"/>
                <w:sz w:val="24"/>
                <w:szCs w:val="24"/>
                <w:lang w:val="es-CO"/>
              </w:rPr>
              <w:t>das económicas y materiales.</w:t>
            </w:r>
          </w:p>
          <w:p w:rsidR="007A40FB" w:rsidRPr="0020158F" w:rsidRDefault="007A40FB" w:rsidP="0090677F">
            <w:pPr>
              <w:rPr>
                <w:rFonts w:ascii="Arial" w:hAnsi="Arial" w:cs="Arial"/>
                <w:lang w:val="es-ES_tradnl"/>
              </w:rPr>
            </w:pPr>
          </w:p>
        </w:tc>
      </w:tr>
      <w:tr w:rsidR="007A40FB" w:rsidRPr="0020158F" w:rsidTr="00757ABA">
        <w:tc>
          <w:tcPr>
            <w:tcW w:w="2430" w:type="dxa"/>
          </w:tcPr>
          <w:p w:rsidR="007A40FB" w:rsidRPr="0020158F" w:rsidRDefault="007A40FB" w:rsidP="00EB6B5D">
            <w:pPr>
              <w:rPr>
                <w:rFonts w:ascii="Arial" w:hAnsi="Arial" w:cs="Arial"/>
                <w:b/>
                <w:bCs/>
                <w:color w:val="000000" w:themeColor="text1"/>
              </w:rPr>
            </w:pPr>
            <w:r w:rsidRPr="0020158F">
              <w:rPr>
                <w:rFonts w:ascii="Arial" w:hAnsi="Arial" w:cs="Arial"/>
                <w:b/>
                <w:bCs/>
                <w:color w:val="000000" w:themeColor="text1"/>
              </w:rPr>
              <w:t>Riesgo m</w:t>
            </w:r>
            <w:r w:rsidRPr="0020158F">
              <w:rPr>
                <w:rFonts w:ascii="Arial" w:hAnsi="Arial" w:cs="Arial"/>
                <w:b/>
                <w:bCs/>
                <w:color w:val="000000" w:themeColor="text1"/>
              </w:rPr>
              <w:t>ecánico</w:t>
            </w:r>
          </w:p>
        </w:tc>
        <w:tc>
          <w:tcPr>
            <w:tcW w:w="6212" w:type="dxa"/>
          </w:tcPr>
          <w:p w:rsidR="007A40FB" w:rsidRPr="0020158F" w:rsidRDefault="007A40FB" w:rsidP="00B314EB">
            <w:pPr>
              <w:pStyle w:val="NormalWeb"/>
              <w:spacing w:before="0" w:beforeAutospacing="0" w:after="0" w:afterAutospacing="0"/>
              <w:jc w:val="both"/>
              <w:rPr>
                <w:rFonts w:ascii="Arial" w:hAnsi="Arial" w:cs="Arial"/>
                <w:b/>
                <w:bCs/>
                <w:color w:val="000000" w:themeColor="text1"/>
                <w:sz w:val="24"/>
                <w:szCs w:val="24"/>
              </w:rPr>
            </w:pPr>
            <w:r w:rsidRPr="0020158F">
              <w:rPr>
                <w:rFonts w:ascii="Arial" w:hAnsi="Arial" w:cs="Arial"/>
                <w:color w:val="000000" w:themeColor="text1"/>
                <w:sz w:val="24"/>
                <w:szCs w:val="24"/>
                <w:lang w:val="es-CO"/>
              </w:rPr>
              <w:t>Se encuentra asociado a toda operación donde se utiliza todo tipo de herramienta, ya sea de tipo manual, manipulación de vehículos, maquinaría (lijadoras, taladros, prensas, tornos), utilización de dispositivos de elevación (puentes grúa, grúa</w:t>
            </w:r>
            <w:r w:rsidR="00B314EB" w:rsidRPr="0020158F">
              <w:rPr>
                <w:rFonts w:ascii="Arial" w:hAnsi="Arial" w:cs="Arial"/>
                <w:color w:val="000000" w:themeColor="text1"/>
                <w:sz w:val="24"/>
                <w:szCs w:val="24"/>
                <w:lang w:val="es-CO"/>
              </w:rPr>
              <w:t>s</w:t>
            </w:r>
            <w:r w:rsidRPr="0020158F">
              <w:rPr>
                <w:rFonts w:ascii="Arial" w:hAnsi="Arial" w:cs="Arial"/>
                <w:color w:val="000000" w:themeColor="text1"/>
                <w:sz w:val="24"/>
                <w:szCs w:val="24"/>
                <w:lang w:val="es-CO"/>
              </w:rPr>
              <w:t>)</w:t>
            </w:r>
            <w:r w:rsidR="00B314EB" w:rsidRPr="0020158F">
              <w:rPr>
                <w:rFonts w:ascii="Arial" w:hAnsi="Arial" w:cs="Arial"/>
                <w:color w:val="000000" w:themeColor="text1"/>
                <w:sz w:val="24"/>
                <w:szCs w:val="24"/>
                <w:lang w:val="es-CO"/>
              </w:rPr>
              <w:t>. L</w:t>
            </w:r>
            <w:r w:rsidRPr="0020158F">
              <w:rPr>
                <w:rFonts w:ascii="Arial" w:hAnsi="Arial" w:cs="Arial"/>
                <w:color w:val="000000" w:themeColor="text1"/>
                <w:sz w:val="24"/>
                <w:szCs w:val="24"/>
                <w:lang w:val="es-CO"/>
              </w:rPr>
              <w:t>as lesiones en los trabajadores están asociadas a punciones, contusiones, golpes por objetos desprendidos o proyectados, cortes, aplastamientos, abrasiones, quemaduras.</w:t>
            </w:r>
          </w:p>
        </w:tc>
      </w:tr>
      <w:tr w:rsidR="007A40FB" w:rsidRPr="0020158F" w:rsidTr="00757ABA">
        <w:tc>
          <w:tcPr>
            <w:tcW w:w="2430" w:type="dxa"/>
          </w:tcPr>
          <w:p w:rsidR="007A40FB" w:rsidRPr="0020158F" w:rsidRDefault="007A40FB" w:rsidP="00EB6B5D">
            <w:pPr>
              <w:rPr>
                <w:rFonts w:ascii="Arial" w:hAnsi="Arial" w:cs="Arial"/>
                <w:b/>
                <w:bCs/>
                <w:color w:val="000000" w:themeColor="text1"/>
              </w:rPr>
            </w:pPr>
            <w:r w:rsidRPr="0020158F">
              <w:rPr>
                <w:rFonts w:ascii="Arial" w:hAnsi="Arial" w:cs="Arial"/>
                <w:b/>
                <w:bCs/>
                <w:color w:val="000000" w:themeColor="text1"/>
              </w:rPr>
              <w:t>Riesgo b</w:t>
            </w:r>
            <w:r w:rsidRPr="0020158F">
              <w:rPr>
                <w:rFonts w:ascii="Arial" w:hAnsi="Arial" w:cs="Arial"/>
                <w:b/>
                <w:bCs/>
                <w:color w:val="000000" w:themeColor="text1"/>
              </w:rPr>
              <w:t>iomecánico</w:t>
            </w:r>
          </w:p>
        </w:tc>
        <w:tc>
          <w:tcPr>
            <w:tcW w:w="6212" w:type="dxa"/>
          </w:tcPr>
          <w:p w:rsidR="007A40FB" w:rsidRPr="0020158F" w:rsidRDefault="00FF5847" w:rsidP="00B314EB">
            <w:pPr>
              <w:pStyle w:val="NormalWeb"/>
              <w:spacing w:line="210" w:lineRule="atLeast"/>
              <w:jc w:val="both"/>
              <w:rPr>
                <w:rFonts w:ascii="Arial" w:hAnsi="Arial" w:cs="Arial"/>
                <w:color w:val="000000" w:themeColor="text1"/>
                <w:sz w:val="24"/>
                <w:szCs w:val="24"/>
                <w:lang w:val="es-CO"/>
              </w:rPr>
            </w:pPr>
            <w:r w:rsidRPr="0020158F">
              <w:rPr>
                <w:rFonts w:ascii="Arial" w:eastAsia="Arial" w:hAnsi="Arial" w:cs="Arial"/>
                <w:sz w:val="24"/>
                <w:szCs w:val="24"/>
                <w:lang w:val="es-CO"/>
              </w:rPr>
              <w:t>Se relaciona a todos aquellos elementos que actúan sobre una persona que realiza una ac</w:t>
            </w:r>
            <w:r w:rsidR="00B314EB" w:rsidRPr="0020158F">
              <w:rPr>
                <w:rFonts w:ascii="Arial" w:eastAsia="Arial" w:hAnsi="Arial" w:cs="Arial"/>
                <w:sz w:val="24"/>
                <w:szCs w:val="24"/>
                <w:lang w:val="es-CO"/>
              </w:rPr>
              <w:t>tividad específica, es decir, có</w:t>
            </w:r>
            <w:r w:rsidRPr="0020158F">
              <w:rPr>
                <w:rFonts w:ascii="Arial" w:eastAsia="Arial" w:hAnsi="Arial" w:cs="Arial"/>
                <w:sz w:val="24"/>
                <w:szCs w:val="24"/>
                <w:lang w:val="es-CO"/>
              </w:rPr>
              <w:t>mo es afectado un trabajador por la manipulación de cargas, posturas y movimientos de las actividades que realiza, cuya consecuencia está relacionada a dolencias especificas temporales hasta lesiones permanentes.</w:t>
            </w:r>
          </w:p>
        </w:tc>
      </w:tr>
      <w:tr w:rsidR="007A40FB" w:rsidRPr="0020158F" w:rsidTr="00757ABA">
        <w:tc>
          <w:tcPr>
            <w:tcW w:w="2430" w:type="dxa"/>
          </w:tcPr>
          <w:p w:rsidR="007A40FB" w:rsidRPr="0020158F" w:rsidRDefault="007A40FB" w:rsidP="00EB6B5D">
            <w:pPr>
              <w:rPr>
                <w:rFonts w:ascii="Arial" w:hAnsi="Arial" w:cs="Arial"/>
                <w:b/>
                <w:bCs/>
              </w:rPr>
            </w:pPr>
            <w:r w:rsidRPr="0020158F">
              <w:rPr>
                <w:rFonts w:ascii="Arial" w:hAnsi="Arial" w:cs="Arial"/>
                <w:b/>
                <w:bCs/>
              </w:rPr>
              <w:t>Riesgo e</w:t>
            </w:r>
            <w:r w:rsidRPr="0020158F">
              <w:rPr>
                <w:rFonts w:ascii="Arial" w:hAnsi="Arial" w:cs="Arial"/>
                <w:b/>
                <w:bCs/>
              </w:rPr>
              <w:t>léctrico</w:t>
            </w:r>
          </w:p>
        </w:tc>
        <w:tc>
          <w:tcPr>
            <w:tcW w:w="6212" w:type="dxa"/>
          </w:tcPr>
          <w:p w:rsidR="007A40FB" w:rsidRPr="0020158F" w:rsidRDefault="0072696D" w:rsidP="00B3402B">
            <w:pPr>
              <w:pStyle w:val="NormalWeb"/>
              <w:spacing w:before="0" w:beforeAutospacing="0" w:after="0" w:afterAutospacing="0" w:line="210" w:lineRule="atLeast"/>
              <w:jc w:val="both"/>
              <w:rPr>
                <w:rFonts w:ascii="Arial" w:hAnsi="Arial" w:cs="Arial"/>
                <w:sz w:val="24"/>
                <w:szCs w:val="24"/>
              </w:rPr>
            </w:pPr>
            <w:r w:rsidRPr="0020158F">
              <w:rPr>
                <w:rFonts w:ascii="Arial" w:hAnsi="Arial" w:cs="Arial"/>
                <w:color w:val="000000" w:themeColor="text1"/>
                <w:sz w:val="24"/>
                <w:szCs w:val="24"/>
                <w:lang w:val="es-CO"/>
              </w:rPr>
              <w:t>Es aquel producido por instalaciones eléctricas y cualquier dispositivo eléctrico con potencial de daño para producir electrocución y quemaduras, este efecto se puede producir por manipulación o maniobra de instalaciones eléctricas de baja, media y alta tensión, operaciones de mantenimiento y reparación de aparatos eléctricos.</w:t>
            </w:r>
          </w:p>
        </w:tc>
      </w:tr>
      <w:tr w:rsidR="007A40FB" w:rsidRPr="0020158F" w:rsidTr="00757ABA">
        <w:tc>
          <w:tcPr>
            <w:tcW w:w="2430" w:type="dxa"/>
          </w:tcPr>
          <w:p w:rsidR="007A40FB" w:rsidRPr="0020158F" w:rsidRDefault="007A40FB" w:rsidP="00EB6B5D">
            <w:pPr>
              <w:rPr>
                <w:rFonts w:ascii="Arial" w:hAnsi="Arial" w:cs="Arial"/>
                <w:b/>
                <w:bCs/>
                <w:color w:val="000000" w:themeColor="text1"/>
              </w:rPr>
            </w:pPr>
            <w:r w:rsidRPr="0020158F">
              <w:rPr>
                <w:rFonts w:ascii="Arial" w:hAnsi="Arial" w:cs="Arial"/>
                <w:b/>
                <w:bCs/>
              </w:rPr>
              <w:t>Riesgo psicosocial</w:t>
            </w:r>
          </w:p>
        </w:tc>
        <w:tc>
          <w:tcPr>
            <w:tcW w:w="6212" w:type="dxa"/>
          </w:tcPr>
          <w:p w:rsidR="007A40FB" w:rsidRPr="0020158F" w:rsidRDefault="00006BA2" w:rsidP="00B3402B">
            <w:pPr>
              <w:pStyle w:val="NormalWeb"/>
              <w:spacing w:line="210" w:lineRule="atLeast"/>
              <w:jc w:val="both"/>
              <w:rPr>
                <w:rFonts w:ascii="Arial" w:hAnsi="Arial" w:cs="Arial"/>
                <w:sz w:val="24"/>
                <w:szCs w:val="24"/>
                <w:lang w:val="es-CO"/>
              </w:rPr>
            </w:pPr>
            <w:r w:rsidRPr="0020158F">
              <w:rPr>
                <w:rFonts w:ascii="Arial" w:eastAsia="Arial" w:hAnsi="Arial" w:cs="Arial"/>
                <w:sz w:val="24"/>
                <w:szCs w:val="24"/>
                <w:lang w:val="es-CO"/>
              </w:rPr>
              <w:t>Asociados a características de organización, gestión de tareas que pueden perjudicar el entorno laboral afectando</w:t>
            </w:r>
            <w:r w:rsidR="00B3402B" w:rsidRPr="0020158F">
              <w:rPr>
                <w:rFonts w:ascii="Arial" w:eastAsia="Arial" w:hAnsi="Arial" w:cs="Arial"/>
                <w:sz w:val="24"/>
                <w:szCs w:val="24"/>
                <w:lang w:val="es-CO"/>
              </w:rPr>
              <w:t>,</w:t>
            </w:r>
            <w:r w:rsidRPr="0020158F">
              <w:rPr>
                <w:rFonts w:ascii="Arial" w:eastAsia="Arial" w:hAnsi="Arial" w:cs="Arial"/>
                <w:sz w:val="24"/>
                <w:szCs w:val="24"/>
                <w:lang w:val="es-CO"/>
              </w:rPr>
              <w:t xml:space="preserve"> de esta manera</w:t>
            </w:r>
            <w:r w:rsidR="00B3402B" w:rsidRPr="0020158F">
              <w:rPr>
                <w:rFonts w:ascii="Arial" w:eastAsia="Arial" w:hAnsi="Arial" w:cs="Arial"/>
                <w:sz w:val="24"/>
                <w:szCs w:val="24"/>
                <w:lang w:val="es-CO"/>
              </w:rPr>
              <w:t>,</w:t>
            </w:r>
            <w:r w:rsidRPr="0020158F">
              <w:rPr>
                <w:rFonts w:ascii="Arial" w:eastAsia="Arial" w:hAnsi="Arial" w:cs="Arial"/>
                <w:sz w:val="24"/>
                <w:szCs w:val="24"/>
                <w:lang w:val="es-CO"/>
              </w:rPr>
              <w:t xml:space="preserve"> la salud física, psicológica y social del trabajador.</w:t>
            </w:r>
          </w:p>
        </w:tc>
      </w:tr>
    </w:tbl>
    <w:p w:rsidR="007A40FB" w:rsidRPr="0020158F" w:rsidRDefault="007A40FB" w:rsidP="007A40FB">
      <w:pPr>
        <w:rPr>
          <w:rFonts w:ascii="Arial" w:hAnsi="Arial" w:cs="Arial"/>
          <w:sz w:val="24"/>
          <w:szCs w:val="24"/>
        </w:rPr>
      </w:pPr>
    </w:p>
    <w:p w:rsidR="007A40FB" w:rsidRPr="0020158F" w:rsidRDefault="007A40FB" w:rsidP="007A40FB">
      <w:pPr>
        <w:rPr>
          <w:rFonts w:ascii="Arial" w:hAnsi="Arial" w:cs="Arial"/>
          <w:sz w:val="24"/>
          <w:szCs w:val="24"/>
          <w:lang w:val="es-MX"/>
        </w:rPr>
      </w:pPr>
      <w:r w:rsidRPr="0020158F">
        <w:rPr>
          <w:rFonts w:ascii="Arial" w:hAnsi="Arial" w:cs="Arial"/>
          <w:b/>
          <w:sz w:val="24"/>
          <w:szCs w:val="24"/>
          <w:lang w:val="es-MX"/>
        </w:rPr>
        <w:t>Retroalimentación positiva:</w:t>
      </w:r>
      <w:r w:rsidRPr="0020158F">
        <w:rPr>
          <w:rFonts w:ascii="Arial" w:hAnsi="Arial" w:cs="Arial"/>
          <w:sz w:val="24"/>
          <w:szCs w:val="24"/>
          <w:lang w:val="es-MX"/>
        </w:rPr>
        <w:t xml:space="preserve"> ¡</w:t>
      </w:r>
      <w:r w:rsidRPr="0020158F">
        <w:rPr>
          <w:rFonts w:ascii="Arial" w:hAnsi="Arial" w:cs="Arial"/>
          <w:sz w:val="24"/>
          <w:szCs w:val="24"/>
          <w:lang w:val="es-MX"/>
        </w:rPr>
        <w:t>Muy bien</w:t>
      </w:r>
      <w:r w:rsidRPr="0020158F">
        <w:rPr>
          <w:rFonts w:ascii="Arial" w:hAnsi="Arial" w:cs="Arial"/>
          <w:sz w:val="24"/>
          <w:szCs w:val="24"/>
          <w:lang w:val="es-MX"/>
        </w:rPr>
        <w:t xml:space="preserve">! Ha comprendido </w:t>
      </w:r>
      <w:r w:rsidRPr="0020158F">
        <w:rPr>
          <w:rFonts w:ascii="Arial" w:hAnsi="Arial" w:cs="Arial"/>
          <w:sz w:val="24"/>
          <w:szCs w:val="24"/>
          <w:lang w:val="es-MX"/>
        </w:rPr>
        <w:t>los diferentes tipos de riesgos vistos en este tema.</w:t>
      </w:r>
      <w:r w:rsidRPr="0020158F">
        <w:rPr>
          <w:rFonts w:ascii="Arial" w:hAnsi="Arial" w:cs="Arial"/>
          <w:sz w:val="24"/>
          <w:szCs w:val="24"/>
          <w:lang w:val="es-MX"/>
        </w:rPr>
        <w:t xml:space="preserve"> Le invitamos a continuar con el estudio de la unidad. </w:t>
      </w:r>
    </w:p>
    <w:p w:rsidR="007A40FB" w:rsidRPr="0020158F" w:rsidRDefault="007A40FB" w:rsidP="007A40FB">
      <w:pPr>
        <w:rPr>
          <w:rFonts w:ascii="Arial" w:hAnsi="Arial" w:cs="Arial"/>
          <w:sz w:val="24"/>
          <w:szCs w:val="24"/>
        </w:rPr>
      </w:pPr>
      <w:r w:rsidRPr="0020158F">
        <w:rPr>
          <w:rFonts w:ascii="Arial" w:hAnsi="Arial" w:cs="Arial"/>
          <w:b/>
          <w:sz w:val="24"/>
          <w:szCs w:val="24"/>
          <w:lang w:val="es-MX"/>
        </w:rPr>
        <w:t>Retroalimentación negativa:</w:t>
      </w:r>
      <w:r w:rsidRPr="0020158F">
        <w:rPr>
          <w:rFonts w:ascii="Arial" w:hAnsi="Arial" w:cs="Arial"/>
          <w:sz w:val="24"/>
          <w:szCs w:val="24"/>
          <w:lang w:val="es-MX"/>
        </w:rPr>
        <w:t xml:space="preserve"> ¡No es correcto! Revise la temática y vuelva a intentarlo.</w:t>
      </w:r>
    </w:p>
    <w:sectPr w:rsidR="007A40FB" w:rsidRPr="002015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F4D66"/>
    <w:multiLevelType w:val="hybridMultilevel"/>
    <w:tmpl w:val="16FAE7DC"/>
    <w:lvl w:ilvl="0" w:tplc="A1141ED2">
      <w:start w:val="1"/>
      <w:numFmt w:val="upperLetter"/>
      <w:lvlText w:val="%1."/>
      <w:lvlJc w:val="left"/>
      <w:pPr>
        <w:ind w:left="720" w:hanging="360"/>
      </w:pPr>
    </w:lvl>
    <w:lvl w:ilvl="1" w:tplc="CB3C5B64">
      <w:start w:val="1"/>
      <w:numFmt w:val="lowerLetter"/>
      <w:lvlText w:val="%2."/>
      <w:lvlJc w:val="left"/>
      <w:pPr>
        <w:ind w:left="1440" w:hanging="360"/>
      </w:pPr>
    </w:lvl>
    <w:lvl w:ilvl="2" w:tplc="734CC4B8">
      <w:start w:val="1"/>
      <w:numFmt w:val="lowerRoman"/>
      <w:lvlText w:val="%3."/>
      <w:lvlJc w:val="right"/>
      <w:pPr>
        <w:ind w:left="2160" w:hanging="180"/>
      </w:pPr>
    </w:lvl>
    <w:lvl w:ilvl="3" w:tplc="46967DBC">
      <w:start w:val="1"/>
      <w:numFmt w:val="decimal"/>
      <w:lvlText w:val="%4."/>
      <w:lvlJc w:val="left"/>
      <w:pPr>
        <w:ind w:left="2880" w:hanging="360"/>
      </w:pPr>
    </w:lvl>
    <w:lvl w:ilvl="4" w:tplc="FAA09268">
      <w:start w:val="1"/>
      <w:numFmt w:val="lowerLetter"/>
      <w:lvlText w:val="%5."/>
      <w:lvlJc w:val="left"/>
      <w:pPr>
        <w:ind w:left="3600" w:hanging="360"/>
      </w:pPr>
    </w:lvl>
    <w:lvl w:ilvl="5" w:tplc="174E4CC8">
      <w:start w:val="1"/>
      <w:numFmt w:val="lowerRoman"/>
      <w:lvlText w:val="%6."/>
      <w:lvlJc w:val="right"/>
      <w:pPr>
        <w:ind w:left="4320" w:hanging="180"/>
      </w:pPr>
    </w:lvl>
    <w:lvl w:ilvl="6" w:tplc="FA88F120">
      <w:start w:val="1"/>
      <w:numFmt w:val="decimal"/>
      <w:lvlText w:val="%7."/>
      <w:lvlJc w:val="left"/>
      <w:pPr>
        <w:ind w:left="5040" w:hanging="360"/>
      </w:pPr>
    </w:lvl>
    <w:lvl w:ilvl="7" w:tplc="0986B040">
      <w:start w:val="1"/>
      <w:numFmt w:val="lowerLetter"/>
      <w:lvlText w:val="%8."/>
      <w:lvlJc w:val="left"/>
      <w:pPr>
        <w:ind w:left="5760" w:hanging="360"/>
      </w:pPr>
    </w:lvl>
    <w:lvl w:ilvl="8" w:tplc="3EDE4A9C">
      <w:start w:val="1"/>
      <w:numFmt w:val="lowerRoman"/>
      <w:lvlText w:val="%9."/>
      <w:lvlJc w:val="right"/>
      <w:pPr>
        <w:ind w:left="6480" w:hanging="180"/>
      </w:pPr>
    </w:lvl>
  </w:abstractNum>
  <w:abstractNum w:abstractNumId="1" w15:restartNumberingAfterBreak="0">
    <w:nsid w:val="4F0114A3"/>
    <w:multiLevelType w:val="hybridMultilevel"/>
    <w:tmpl w:val="A6E88610"/>
    <w:lvl w:ilvl="0" w:tplc="AB426E02">
      <w:start w:val="1"/>
      <w:numFmt w:val="upperRoman"/>
      <w:lvlText w:val="%1."/>
      <w:lvlJc w:val="left"/>
      <w:pPr>
        <w:ind w:left="720" w:hanging="360"/>
      </w:pPr>
    </w:lvl>
    <w:lvl w:ilvl="1" w:tplc="D0B2FA62">
      <w:start w:val="1"/>
      <w:numFmt w:val="lowerLetter"/>
      <w:lvlText w:val="%2."/>
      <w:lvlJc w:val="left"/>
      <w:pPr>
        <w:ind w:left="1440" w:hanging="360"/>
      </w:pPr>
    </w:lvl>
    <w:lvl w:ilvl="2" w:tplc="37A4F900">
      <w:start w:val="1"/>
      <w:numFmt w:val="lowerRoman"/>
      <w:lvlText w:val="%3."/>
      <w:lvlJc w:val="right"/>
      <w:pPr>
        <w:ind w:left="2160" w:hanging="180"/>
      </w:pPr>
    </w:lvl>
    <w:lvl w:ilvl="3" w:tplc="2A9C129A">
      <w:start w:val="1"/>
      <w:numFmt w:val="decimal"/>
      <w:lvlText w:val="%4."/>
      <w:lvlJc w:val="left"/>
      <w:pPr>
        <w:ind w:left="2880" w:hanging="360"/>
      </w:pPr>
    </w:lvl>
    <w:lvl w:ilvl="4" w:tplc="1E4EFC62">
      <w:start w:val="1"/>
      <w:numFmt w:val="lowerLetter"/>
      <w:lvlText w:val="%5."/>
      <w:lvlJc w:val="left"/>
      <w:pPr>
        <w:ind w:left="3600" w:hanging="360"/>
      </w:pPr>
    </w:lvl>
    <w:lvl w:ilvl="5" w:tplc="C4129598">
      <w:start w:val="1"/>
      <w:numFmt w:val="lowerRoman"/>
      <w:lvlText w:val="%6."/>
      <w:lvlJc w:val="right"/>
      <w:pPr>
        <w:ind w:left="4320" w:hanging="180"/>
      </w:pPr>
    </w:lvl>
    <w:lvl w:ilvl="6" w:tplc="4C386DBE">
      <w:start w:val="1"/>
      <w:numFmt w:val="decimal"/>
      <w:lvlText w:val="%7."/>
      <w:lvlJc w:val="left"/>
      <w:pPr>
        <w:ind w:left="5040" w:hanging="360"/>
      </w:pPr>
    </w:lvl>
    <w:lvl w:ilvl="7" w:tplc="834C9EF0">
      <w:start w:val="1"/>
      <w:numFmt w:val="lowerLetter"/>
      <w:lvlText w:val="%8."/>
      <w:lvlJc w:val="left"/>
      <w:pPr>
        <w:ind w:left="5760" w:hanging="360"/>
      </w:pPr>
    </w:lvl>
    <w:lvl w:ilvl="8" w:tplc="D22A487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B"/>
    <w:rsid w:val="00006BA2"/>
    <w:rsid w:val="001B34FF"/>
    <w:rsid w:val="0020158F"/>
    <w:rsid w:val="002E212D"/>
    <w:rsid w:val="005515F9"/>
    <w:rsid w:val="00712819"/>
    <w:rsid w:val="0072696D"/>
    <w:rsid w:val="00757ABA"/>
    <w:rsid w:val="007A40FB"/>
    <w:rsid w:val="00B314EB"/>
    <w:rsid w:val="00B3402B"/>
    <w:rsid w:val="00E77386"/>
    <w:rsid w:val="00EB6B5D"/>
    <w:rsid w:val="00FF5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C21B"/>
  <w15:chartTrackingRefBased/>
  <w15:docId w15:val="{A71CF900-0407-4C06-9AEE-142CB290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A40FB"/>
    <w:pPr>
      <w:spacing w:before="100" w:beforeAutospacing="1" w:after="100" w:afterAutospacing="1" w:line="240" w:lineRule="auto"/>
    </w:pPr>
    <w:rPr>
      <w:rFonts w:ascii="Times" w:eastAsia="Times New Roman" w:hAnsi="Times" w:cs="Times New Roman"/>
      <w:sz w:val="20"/>
      <w:szCs w:val="20"/>
      <w:lang w:val="es-ES_tradnl" w:eastAsia="es-ES"/>
    </w:rPr>
  </w:style>
  <w:style w:type="paragraph" w:styleId="Prrafodelista">
    <w:name w:val="List Paragraph"/>
    <w:basedOn w:val="Normal"/>
    <w:uiPriority w:val="99"/>
    <w:qFormat/>
    <w:rsid w:val="007A40FB"/>
    <w:pPr>
      <w:spacing w:after="0" w:line="240" w:lineRule="auto"/>
      <w:ind w:left="720"/>
      <w:contextualSpacing/>
      <w:jc w:val="both"/>
    </w:pPr>
    <w:rPr>
      <w:rFonts w:ascii="Arial" w:eastAsia="Times New Roman" w:hAnsi="Arial" w:cs="Times New Roman"/>
      <w:sz w:val="24"/>
      <w:szCs w:val="20"/>
      <w:lang w:eastAsia="es-CO"/>
    </w:rPr>
  </w:style>
  <w:style w:type="table" w:styleId="Tablaconcuadrcula">
    <w:name w:val="Table Grid"/>
    <w:basedOn w:val="Tablanormal"/>
    <w:uiPriority w:val="59"/>
    <w:rsid w:val="007A40F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7A40FB"/>
    <w:pPr>
      <w:numPr>
        <w:ilvl w:val="1"/>
      </w:numPr>
      <w:spacing w:after="0" w:line="240" w:lineRule="auto"/>
      <w:jc w:val="both"/>
    </w:pPr>
    <w:rPr>
      <w:rFonts w:asciiTheme="majorHAnsi" w:eastAsiaTheme="majorEastAsia" w:hAnsiTheme="majorHAnsi" w:cstheme="majorBidi"/>
      <w:i/>
      <w:iCs/>
      <w:color w:val="5B9BD5" w:themeColor="accent1"/>
      <w:spacing w:val="15"/>
      <w:sz w:val="24"/>
      <w:szCs w:val="24"/>
      <w:lang w:eastAsia="es-CO"/>
    </w:rPr>
  </w:style>
  <w:style w:type="character" w:customStyle="1" w:styleId="SubttuloCar">
    <w:name w:val="Subtítulo Car"/>
    <w:basedOn w:val="Fuentedeprrafopredeter"/>
    <w:link w:val="Subttulo"/>
    <w:uiPriority w:val="11"/>
    <w:rsid w:val="007A40FB"/>
    <w:rPr>
      <w:rFonts w:asciiTheme="majorHAnsi" w:eastAsiaTheme="majorEastAsia" w:hAnsiTheme="majorHAnsi" w:cstheme="majorBidi"/>
      <w:i/>
      <w:iCs/>
      <w:color w:val="5B9BD5" w:themeColor="accent1"/>
      <w:spacing w:val="15"/>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538</Words>
  <Characters>3068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12</cp:revision>
  <dcterms:created xsi:type="dcterms:W3CDTF">2020-10-28T06:13:00Z</dcterms:created>
  <dcterms:modified xsi:type="dcterms:W3CDTF">2020-10-28T06:39:00Z</dcterms:modified>
</cp:coreProperties>
</file>