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2D" w:rsidRDefault="00946C46" w:rsidP="00946C46">
      <w:pPr>
        <w:jc w:val="center"/>
        <w:rPr>
          <w:rFonts w:ascii="Arial" w:hAnsi="Arial" w:cs="Arial"/>
          <w:b/>
          <w:sz w:val="24"/>
          <w:szCs w:val="24"/>
        </w:rPr>
      </w:pPr>
      <w:r w:rsidRPr="00946C46">
        <w:rPr>
          <w:rFonts w:ascii="Arial" w:hAnsi="Arial" w:cs="Arial"/>
          <w:b/>
          <w:sz w:val="24"/>
          <w:szCs w:val="24"/>
        </w:rPr>
        <w:t>Clasificación de los riesgos biológicos</w:t>
      </w:r>
    </w:p>
    <w:p w:rsidR="00946C46" w:rsidRDefault="00946C46" w:rsidP="00946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Instrucción: </w:t>
      </w:r>
      <w:r>
        <w:rPr>
          <w:rFonts w:ascii="Arial" w:hAnsi="Arial" w:cs="Arial"/>
          <w:sz w:val="24"/>
          <w:szCs w:val="24"/>
        </w:rPr>
        <w:t xml:space="preserve">realizar interactividad: </w:t>
      </w:r>
      <w:proofErr w:type="spellStart"/>
      <w:r>
        <w:rPr>
          <w:rFonts w:ascii="Arial" w:hAnsi="Arial" w:cs="Arial"/>
          <w:sz w:val="24"/>
          <w:szCs w:val="24"/>
        </w:rPr>
        <w:t>Edge</w:t>
      </w:r>
      <w:proofErr w:type="spellEnd"/>
      <w:r>
        <w:rPr>
          <w:rFonts w:ascii="Arial" w:hAnsi="Arial" w:cs="Arial"/>
          <w:sz w:val="24"/>
          <w:szCs w:val="24"/>
        </w:rPr>
        <w:t>/4ítems</w:t>
      </w:r>
      <w:r w:rsidRPr="00946C46">
        <w:t xml:space="preserve"> </w:t>
      </w:r>
      <w:proofErr w:type="spellStart"/>
      <w:r w:rsidRPr="00946C46">
        <w:rPr>
          <w:rFonts w:ascii="Arial" w:hAnsi="Arial" w:cs="Arial"/>
          <w:sz w:val="24"/>
          <w:szCs w:val="24"/>
        </w:rPr>
        <w:t>elementos_numeros</w:t>
      </w:r>
      <w:proofErr w:type="spellEnd"/>
      <w:r w:rsidR="005B5446">
        <w:rPr>
          <w:rFonts w:ascii="Arial" w:hAnsi="Arial" w:cs="Arial"/>
          <w:sz w:val="24"/>
          <w:szCs w:val="24"/>
        </w:rPr>
        <w:t xml:space="preserve">. </w:t>
      </w:r>
    </w:p>
    <w:p w:rsidR="005B5446" w:rsidRDefault="005B5446" w:rsidP="00946C46">
      <w:pPr>
        <w:rPr>
          <w:rFonts w:ascii="Arial" w:hAnsi="Arial" w:cs="Arial"/>
          <w:sz w:val="24"/>
          <w:szCs w:val="24"/>
        </w:rPr>
      </w:pPr>
    </w:p>
    <w:p w:rsidR="005B5446" w:rsidRDefault="005B5446" w:rsidP="005B5446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5B5446">
        <w:rPr>
          <w:rFonts w:ascii="Arial" w:hAnsi="Arial" w:cs="Arial"/>
          <w:b/>
          <w:i/>
          <w:color w:val="4472C4" w:themeColor="accent5"/>
          <w:sz w:val="24"/>
          <w:szCs w:val="24"/>
        </w:rPr>
        <w:t>Haga clic sobre cada uno de los elementos para ampliar la información sobre los tipos de riesgos biológicos:</w:t>
      </w:r>
    </w:p>
    <w:p w:rsidR="008F7EB3" w:rsidRPr="005B5446" w:rsidRDefault="008F7EB3" w:rsidP="005B5446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</w:p>
    <w:p w:rsidR="00E81FCB" w:rsidRPr="00E81FCB" w:rsidRDefault="00E81FCB" w:rsidP="00946C46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Virus</w:t>
      </w:r>
    </w:p>
    <w:p w:rsidR="00946C46" w:rsidRPr="00946C46" w:rsidRDefault="00946C46" w:rsidP="00E81FCB">
      <w:pPr>
        <w:pStyle w:val="NormalWeb"/>
        <w:spacing w:before="0" w:beforeAutospacing="0" w:after="0" w:afterAutospacing="0" w:line="210" w:lineRule="atLeast"/>
        <w:ind w:left="1068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Son agentes parásitos patógenos no celulares, los cuales son de menor tamaño que las bacterias, únicamente son vistos con microscopio electrónico, no son capaces de crecer o multiplicarse fuera de una célula que se asocia para poder manifestarse, las enfermedades que se </w:t>
      </w:r>
      <w:r w:rsidR="00E81FCB"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>relacionan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por virus son:</w:t>
      </w: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hepatitis, vírica, poliomielitis, SIDA, herpes, rabia, meningitis, linfocitarias, COVID-19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etc.</w:t>
      </w:r>
    </w:p>
    <w:p w:rsidR="00946C46" w:rsidRPr="00946C46" w:rsidRDefault="00946C46" w:rsidP="00946C46">
      <w:pPr>
        <w:pStyle w:val="NormalWeb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E81FCB" w:rsidRDefault="00946C46" w:rsidP="00946C46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946C46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Ba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c</w:t>
      </w:r>
      <w:r w:rsidRPr="00946C46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terias</w:t>
      </w:r>
    </w:p>
    <w:p w:rsidR="00946C46" w:rsidRPr="00946C46" w:rsidRDefault="00946C46" w:rsidP="00E81FCB">
      <w:pPr>
        <w:pStyle w:val="NormalWeb"/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>Son organismos unicelulares simple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>, los cuales son visibles al microscopio óptico sin necesidad de valerse de otros organismos, se multiplican por división simple (cocos y bacilos), las vías de ingreso son</w:t>
      </w:r>
      <w:r w:rsidR="000264D9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principalmente</w:t>
      </w:r>
      <w:r w:rsidR="000264D9"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bookmarkStart w:id="0" w:name="_GoBack"/>
      <w:bookmarkEnd w:id="0"/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por heridas y la ingesta de alimentos infectados; algunas enfermedades asociadas son la tuberculosis, tétanos, salmonelosis, infecciones de estafilococos, fiebre de malta, entre otros (Del Prado, 2019).</w:t>
      </w:r>
    </w:p>
    <w:p w:rsidR="00946C46" w:rsidRPr="00946C46" w:rsidRDefault="00946C46" w:rsidP="00946C46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E81FCB" w:rsidRPr="00E81FCB" w:rsidRDefault="00E81FCB" w:rsidP="00946C46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Hongos</w:t>
      </w:r>
    </w:p>
    <w:p w:rsidR="00946C46" w:rsidRPr="00946C46" w:rsidRDefault="00946C46" w:rsidP="00E81FCB">
      <w:pPr>
        <w:pStyle w:val="NormalWeb"/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>Son formas complejas de vida cuya estructura es vegetal, ya que no pueden sintetizar proteínas por sí solos, aunque algunos son parásitos tanto animales como vegetales, estos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producen enf</w:t>
      </w:r>
      <w:r w:rsidR="000264D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ermedades </w:t>
      </w:r>
      <w:proofErr w:type="spellStart"/>
      <w:r w:rsidR="000264D9">
        <w:rPr>
          <w:rFonts w:ascii="Arial" w:hAnsi="Arial" w:cs="Arial"/>
          <w:color w:val="000000" w:themeColor="text1"/>
          <w:sz w:val="24"/>
          <w:szCs w:val="24"/>
          <w:lang w:val="es-CO"/>
        </w:rPr>
        <w:t>micó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>ticas</w:t>
      </w:r>
      <w:proofErr w:type="spellEnd"/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que se manifiestan principalmente a través de la piel, uñas; algunas enfermedades son el pie de atleta, tiña inguinal, hongo en las uñas, etc.</w:t>
      </w:r>
    </w:p>
    <w:p w:rsidR="00946C46" w:rsidRPr="00946C46" w:rsidRDefault="00946C46" w:rsidP="00946C46">
      <w:pPr>
        <w:pStyle w:val="NormalWeb"/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E81FCB" w:rsidRPr="00E81FCB" w:rsidRDefault="00E81FCB" w:rsidP="00946C46">
      <w:pPr>
        <w:pStyle w:val="NormalWeb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Parásitos</w:t>
      </w:r>
    </w:p>
    <w:p w:rsidR="00946C46" w:rsidRPr="00946C46" w:rsidRDefault="00946C46" w:rsidP="00E81FCB">
      <w:pPr>
        <w:pStyle w:val="NormalWeb"/>
        <w:spacing w:before="0" w:beforeAutospacing="0" w:after="0" w:afterAutospacing="0" w:line="21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>Son organismo</w:t>
      </w:r>
      <w:r w:rsidR="00E81FCB">
        <w:rPr>
          <w:rFonts w:ascii="Arial" w:hAnsi="Arial" w:cs="Arial"/>
          <w:color w:val="000000" w:themeColor="text1"/>
          <w:sz w:val="24"/>
          <w:szCs w:val="24"/>
          <w:lang w:val="es-CO"/>
        </w:rPr>
        <w:t>s</w:t>
      </w:r>
      <w:r w:rsidRPr="00946C46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que completan su ciclo de vida dentro del interior de organismos vivos (ser humano, animales), algunas enfermedades asociadas son la esquistosomiasis, la malaria y la bilharziasis (Del Prado, 2019).</w:t>
      </w:r>
    </w:p>
    <w:p w:rsidR="00946C46" w:rsidRPr="00946C46" w:rsidRDefault="00946C46" w:rsidP="00946C46">
      <w:pPr>
        <w:pStyle w:val="Descripcin"/>
        <w:rPr>
          <w:rFonts w:cs="Arial"/>
          <w:sz w:val="24"/>
          <w:szCs w:val="24"/>
        </w:rPr>
      </w:pPr>
    </w:p>
    <w:p w:rsidR="00946C46" w:rsidRPr="00946C46" w:rsidRDefault="00946C46">
      <w:pPr>
        <w:rPr>
          <w:rFonts w:ascii="Arial" w:hAnsi="Arial" w:cs="Arial"/>
          <w:sz w:val="24"/>
          <w:szCs w:val="24"/>
        </w:rPr>
      </w:pPr>
    </w:p>
    <w:sectPr w:rsidR="00946C46" w:rsidRPr="00946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01CC"/>
    <w:multiLevelType w:val="hybridMultilevel"/>
    <w:tmpl w:val="420651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E65581"/>
    <w:multiLevelType w:val="hybridMultilevel"/>
    <w:tmpl w:val="14C667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6"/>
    <w:rsid w:val="000264D9"/>
    <w:rsid w:val="002E212D"/>
    <w:rsid w:val="005B5446"/>
    <w:rsid w:val="008F7EB3"/>
    <w:rsid w:val="00946C46"/>
    <w:rsid w:val="00E81FCB"/>
    <w:rsid w:val="00F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FD09"/>
  <w15:chartTrackingRefBased/>
  <w15:docId w15:val="{53237CDC-93B3-4C27-9216-1B63FD5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4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946C46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5B9BD5" w:themeColor="accent1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5</cp:revision>
  <dcterms:created xsi:type="dcterms:W3CDTF">2020-10-28T03:07:00Z</dcterms:created>
  <dcterms:modified xsi:type="dcterms:W3CDTF">2020-10-28T03:24:00Z</dcterms:modified>
</cp:coreProperties>
</file>