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F855" w14:textId="77777777" w:rsidR="00260BD5" w:rsidRPr="007C22A1" w:rsidRDefault="00B944EF" w:rsidP="007C22A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Generalidades de los d</w:t>
      </w:r>
      <w:r w:rsidR="00260BD5" w:rsidRPr="007C22A1">
        <w:rPr>
          <w:rFonts w:cs="Arial"/>
          <w:b/>
          <w:szCs w:val="24"/>
        </w:rPr>
        <w:t>ecretos</w:t>
      </w:r>
      <w:r>
        <w:rPr>
          <w:rFonts w:cs="Arial"/>
          <w:b/>
          <w:szCs w:val="24"/>
        </w:rPr>
        <w:t xml:space="preserve"> relacionados con seguridad y salud en el trabajo (SST)</w:t>
      </w:r>
    </w:p>
    <w:p w14:paraId="3E7B87E8" w14:textId="77777777" w:rsidR="00260BD5" w:rsidRPr="007C22A1" w:rsidRDefault="00260BD5" w:rsidP="00260BD5">
      <w:pPr>
        <w:rPr>
          <w:rFonts w:cs="Arial"/>
          <w:b/>
          <w:szCs w:val="24"/>
        </w:rPr>
      </w:pPr>
    </w:p>
    <w:p w14:paraId="24199D82" w14:textId="0916B9F4" w:rsidR="00260BD5" w:rsidRDefault="00D22F93" w:rsidP="00260BD5">
      <w:pPr>
        <w:rPr>
          <w:rFonts w:cs="Arial"/>
          <w:szCs w:val="24"/>
        </w:rPr>
      </w:pPr>
      <w:r w:rsidRPr="00CD6032">
        <w:rPr>
          <w:rFonts w:cs="Arial"/>
          <w:b/>
          <w:szCs w:val="24"/>
        </w:rPr>
        <w:t>Instrucción:</w:t>
      </w:r>
      <w:r>
        <w:rPr>
          <w:rFonts w:cs="Arial"/>
          <w:szCs w:val="24"/>
        </w:rPr>
        <w:t xml:space="preserve"> realizar interactividad: </w:t>
      </w:r>
      <w:proofErr w:type="spellStart"/>
      <w:r>
        <w:rPr>
          <w:rFonts w:cs="Arial"/>
          <w:szCs w:val="24"/>
        </w:rPr>
        <w:t>Edge</w:t>
      </w:r>
      <w:proofErr w:type="spellEnd"/>
      <w:r>
        <w:rPr>
          <w:rFonts w:cs="Arial"/>
          <w:szCs w:val="24"/>
        </w:rPr>
        <w:t>/2ítems/</w:t>
      </w:r>
      <w:r w:rsidR="00E76927" w:rsidRPr="00E76927">
        <w:rPr>
          <w:rFonts w:cs="Arial"/>
          <w:szCs w:val="24"/>
        </w:rPr>
        <w:t xml:space="preserve">comparación con </w:t>
      </w:r>
      <w:r w:rsidR="003342A4" w:rsidRPr="00E76927">
        <w:rPr>
          <w:rFonts w:cs="Arial"/>
          <w:szCs w:val="24"/>
        </w:rPr>
        <w:t>gráfico</w:t>
      </w:r>
      <w:r w:rsidR="003342A4">
        <w:rPr>
          <w:rFonts w:cs="Arial"/>
          <w:szCs w:val="24"/>
        </w:rPr>
        <w:t>. Va título</w:t>
      </w:r>
      <w:r w:rsidR="000305E6">
        <w:rPr>
          <w:rFonts w:cs="Arial"/>
          <w:szCs w:val="24"/>
        </w:rPr>
        <w:t xml:space="preserve"> + instrucción</w:t>
      </w:r>
      <w:r w:rsidR="007910A5">
        <w:rPr>
          <w:rFonts w:cs="Arial"/>
          <w:szCs w:val="24"/>
        </w:rPr>
        <w:t xml:space="preserve"> +</w:t>
      </w:r>
      <w:r w:rsidR="000305E6">
        <w:rPr>
          <w:rFonts w:cs="Arial"/>
          <w:szCs w:val="24"/>
        </w:rPr>
        <w:t xml:space="preserve"> la interactividad. </w:t>
      </w:r>
      <w:r w:rsidR="007910A5">
        <w:rPr>
          <w:rFonts w:cs="Arial"/>
          <w:szCs w:val="24"/>
        </w:rPr>
        <w:t>Favor poner fuente en el gráfico que se debe redibujar.</w:t>
      </w:r>
    </w:p>
    <w:p w14:paraId="05BC4FFC" w14:textId="6F9699BA" w:rsidR="00CD6032" w:rsidRDefault="00CD6032" w:rsidP="00260BD5">
      <w:pPr>
        <w:rPr>
          <w:rFonts w:cs="Arial"/>
          <w:szCs w:val="24"/>
        </w:rPr>
      </w:pPr>
    </w:p>
    <w:p w14:paraId="7F946303" w14:textId="4858560B" w:rsidR="006B2D3D" w:rsidRPr="006B2D3D" w:rsidRDefault="006B2D3D" w:rsidP="006B2D3D">
      <w:pPr>
        <w:jc w:val="center"/>
        <w:rPr>
          <w:rFonts w:cs="Arial"/>
          <w:b/>
          <w:i/>
          <w:color w:val="4472C4" w:themeColor="accent5"/>
          <w:szCs w:val="24"/>
        </w:rPr>
      </w:pPr>
      <w:bookmarkStart w:id="0" w:name="_GoBack"/>
      <w:r w:rsidRPr="006B2D3D">
        <w:rPr>
          <w:rFonts w:cs="Arial"/>
          <w:b/>
          <w:i/>
          <w:color w:val="4472C4" w:themeColor="accent5"/>
          <w:szCs w:val="24"/>
        </w:rPr>
        <w:t>Para conocer más sobre los aspectos de los decretos en SST, haga clic en cada título:</w:t>
      </w:r>
    </w:p>
    <w:bookmarkEnd w:id="0"/>
    <w:p w14:paraId="24551C2A" w14:textId="77777777" w:rsidR="00CD6032" w:rsidRDefault="00CD6032" w:rsidP="00260BD5">
      <w:pPr>
        <w:rPr>
          <w:rFonts w:cs="Arial"/>
          <w:szCs w:val="24"/>
        </w:rPr>
      </w:pPr>
    </w:p>
    <w:p w14:paraId="702631C6" w14:textId="77777777" w:rsidR="00CD6032" w:rsidRDefault="00CD6032" w:rsidP="00260BD5">
      <w:pPr>
        <w:rPr>
          <w:rFonts w:cs="Arial"/>
          <w:b/>
          <w:szCs w:val="24"/>
        </w:rPr>
      </w:pPr>
      <w:r w:rsidRPr="008C4A0C">
        <w:rPr>
          <w:rFonts w:cs="Arial"/>
          <w:b/>
          <w:szCs w:val="24"/>
        </w:rPr>
        <w:t>Decretos Únicos Reglamentarios y estructura del Decreto 1072 de 2015</w:t>
      </w:r>
    </w:p>
    <w:p w14:paraId="045073D1" w14:textId="77777777" w:rsidR="005A2AD6" w:rsidRDefault="005A2AD6" w:rsidP="00260BD5">
      <w:pPr>
        <w:rPr>
          <w:rFonts w:cs="Arial"/>
          <w:b/>
          <w:szCs w:val="24"/>
        </w:rPr>
      </w:pPr>
    </w:p>
    <w:p w14:paraId="1D77C835" w14:textId="77777777" w:rsidR="005A2AD6" w:rsidRPr="008C4A0C" w:rsidRDefault="005A2AD6" w:rsidP="00260BD5">
      <w:pPr>
        <w:rPr>
          <w:rFonts w:cs="Arial"/>
          <w:b/>
          <w:szCs w:val="24"/>
        </w:rPr>
      </w:pPr>
      <w:commentRangeStart w:id="1"/>
      <w:r>
        <w:rPr>
          <w:noProof/>
          <w:lang w:val="en-US" w:eastAsia="en-US"/>
        </w:rPr>
        <w:drawing>
          <wp:inline distT="0" distB="0" distL="0" distR="0" wp14:anchorId="39F57FCC" wp14:editId="1A349612">
            <wp:extent cx="2962275" cy="1994618"/>
            <wp:effectExtent l="0" t="0" r="0" b="5715"/>
            <wp:docPr id="6" name="Imagen 6" descr="Martillo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rtillo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596" cy="19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"/>
      <w:r>
        <w:rPr>
          <w:rStyle w:val="Refdecomentario"/>
        </w:rPr>
        <w:commentReference w:id="1"/>
      </w:r>
    </w:p>
    <w:p w14:paraId="17486456" w14:textId="77777777" w:rsidR="00CD6032" w:rsidRPr="007C22A1" w:rsidRDefault="00CD6032" w:rsidP="00260BD5">
      <w:pPr>
        <w:rPr>
          <w:rFonts w:cs="Arial"/>
          <w:szCs w:val="24"/>
        </w:rPr>
      </w:pPr>
    </w:p>
    <w:p w14:paraId="4F3DEADE" w14:textId="77777777" w:rsidR="00260BD5" w:rsidRDefault="00C40F4E" w:rsidP="00260BD5">
      <w:p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260BD5" w:rsidRPr="007C22A1">
        <w:rPr>
          <w:rFonts w:cs="Arial"/>
          <w:szCs w:val="24"/>
        </w:rPr>
        <w:t xml:space="preserve">n Colombia </w:t>
      </w:r>
      <w:r>
        <w:rPr>
          <w:rFonts w:cs="Arial"/>
          <w:szCs w:val="24"/>
        </w:rPr>
        <w:t xml:space="preserve">también </w:t>
      </w:r>
      <w:r w:rsidR="00260BD5" w:rsidRPr="007C22A1">
        <w:rPr>
          <w:rFonts w:cs="Arial"/>
          <w:szCs w:val="24"/>
        </w:rPr>
        <w:t>se expiden los DUR o Decretos Únicos Reglamentarios, los cuales compilan toda la normatividad r</w:t>
      </w:r>
      <w:r>
        <w:rPr>
          <w:rFonts w:cs="Arial"/>
          <w:szCs w:val="24"/>
        </w:rPr>
        <w:t>eglamentaria del poder E</w:t>
      </w:r>
      <w:r w:rsidR="00260BD5" w:rsidRPr="007C22A1">
        <w:rPr>
          <w:rFonts w:cs="Arial"/>
          <w:szCs w:val="24"/>
        </w:rPr>
        <w:t xml:space="preserve">jecutivo con el fin de simplificar la normatividad existente en el país. Uno de los primeros </w:t>
      </w:r>
      <w:r w:rsidR="007C22A1" w:rsidRPr="007C22A1">
        <w:rPr>
          <w:rFonts w:cs="Arial"/>
          <w:szCs w:val="24"/>
        </w:rPr>
        <w:t xml:space="preserve">Decretos Únicos Reglamentarios </w:t>
      </w:r>
      <w:r w:rsidR="00260BD5" w:rsidRPr="007C22A1">
        <w:rPr>
          <w:rFonts w:cs="Arial"/>
          <w:szCs w:val="24"/>
        </w:rPr>
        <w:t>se publicó en el 2015 y desde allí se constituye la norma principal del sector que reglamenta (</w:t>
      </w:r>
      <w:proofErr w:type="spellStart"/>
      <w:r w:rsidR="00260BD5" w:rsidRPr="007C22A1">
        <w:rPr>
          <w:rFonts w:cs="Arial"/>
          <w:szCs w:val="24"/>
        </w:rPr>
        <w:t>Safet</w:t>
      </w:r>
      <w:proofErr w:type="spellEnd"/>
      <w:r w:rsidR="00260BD5" w:rsidRPr="007C22A1">
        <w:rPr>
          <w:rFonts w:cs="Arial"/>
          <w:szCs w:val="24"/>
        </w:rPr>
        <w:t xml:space="preserve">, 2018). </w:t>
      </w:r>
      <w:r w:rsidR="007C22A1">
        <w:rPr>
          <w:rFonts w:cs="Arial"/>
          <w:szCs w:val="24"/>
        </w:rPr>
        <w:t>Para el campo relacionado con</w:t>
      </w:r>
      <w:r w:rsidR="00260BD5" w:rsidRPr="007C22A1">
        <w:rPr>
          <w:rFonts w:cs="Arial"/>
          <w:szCs w:val="24"/>
        </w:rPr>
        <w:t xml:space="preserve"> </w:t>
      </w:r>
      <w:r w:rsidR="007C22A1" w:rsidRPr="007C22A1">
        <w:rPr>
          <w:rFonts w:cs="Arial"/>
          <w:szCs w:val="24"/>
        </w:rPr>
        <w:t xml:space="preserve">seguridad y salud en el trabajo </w:t>
      </w:r>
      <w:r w:rsidR="00260BD5" w:rsidRPr="007C22A1">
        <w:rPr>
          <w:rFonts w:cs="Arial"/>
          <w:szCs w:val="24"/>
        </w:rPr>
        <w:t xml:space="preserve">en el año 2015 se </w:t>
      </w:r>
      <w:r w:rsidR="007C22A1" w:rsidRPr="007C22A1">
        <w:rPr>
          <w:rFonts w:cs="Arial"/>
          <w:szCs w:val="24"/>
        </w:rPr>
        <w:t>expidió</w:t>
      </w:r>
      <w:r w:rsidR="00260BD5" w:rsidRPr="007C22A1">
        <w:rPr>
          <w:rFonts w:cs="Arial"/>
          <w:szCs w:val="24"/>
        </w:rPr>
        <w:t xml:space="preserve"> el DUR 1072, el cual es un comp</w:t>
      </w:r>
      <w:r w:rsidR="007C22A1">
        <w:rPr>
          <w:rFonts w:cs="Arial"/>
          <w:szCs w:val="24"/>
        </w:rPr>
        <w:t>i</w:t>
      </w:r>
      <w:r w:rsidR="00260BD5" w:rsidRPr="007C22A1">
        <w:rPr>
          <w:rFonts w:cs="Arial"/>
          <w:szCs w:val="24"/>
        </w:rPr>
        <w:t>l</w:t>
      </w:r>
      <w:r w:rsidR="007C22A1">
        <w:rPr>
          <w:rFonts w:cs="Arial"/>
          <w:szCs w:val="24"/>
        </w:rPr>
        <w:t>a</w:t>
      </w:r>
      <w:r w:rsidR="00260BD5" w:rsidRPr="007C22A1">
        <w:rPr>
          <w:rFonts w:cs="Arial"/>
          <w:szCs w:val="24"/>
        </w:rPr>
        <w:t xml:space="preserve">do de normas del sector trabajo. </w:t>
      </w:r>
    </w:p>
    <w:p w14:paraId="15682643" w14:textId="77777777" w:rsidR="00B944EF" w:rsidRDefault="00B944EF" w:rsidP="00260BD5">
      <w:pPr>
        <w:rPr>
          <w:rFonts w:cs="Arial"/>
          <w:szCs w:val="24"/>
        </w:rPr>
      </w:pPr>
    </w:p>
    <w:p w14:paraId="5790831F" w14:textId="77777777" w:rsidR="00B944EF" w:rsidRDefault="00B944EF" w:rsidP="00260BD5">
      <w:pPr>
        <w:rPr>
          <w:rFonts w:cs="Arial"/>
          <w:szCs w:val="24"/>
        </w:rPr>
      </w:pPr>
      <w:commentRangeStart w:id="2"/>
      <w:r w:rsidRPr="007C22A1">
        <w:rPr>
          <w:rFonts w:cs="Arial"/>
          <w:noProof/>
          <w:szCs w:val="24"/>
          <w:lang w:val="en-US" w:eastAsia="en-US"/>
        </w:rPr>
        <w:lastRenderedPageBreak/>
        <w:drawing>
          <wp:inline distT="0" distB="0" distL="0" distR="0" wp14:anchorId="15FA8DA7" wp14:editId="4818F5C4">
            <wp:extent cx="5612130" cy="3114458"/>
            <wp:effectExtent l="0" t="0" r="7620" b="0"/>
            <wp:docPr id="2116182272" name="Imagen 211618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="006C4736">
        <w:rPr>
          <w:rStyle w:val="Refdecomentario"/>
        </w:rPr>
        <w:commentReference w:id="2"/>
      </w:r>
    </w:p>
    <w:p w14:paraId="5E033199" w14:textId="77777777" w:rsidR="00B944EF" w:rsidRDefault="00B944EF" w:rsidP="00260BD5">
      <w:pPr>
        <w:rPr>
          <w:rFonts w:cs="Arial"/>
          <w:szCs w:val="24"/>
        </w:rPr>
      </w:pPr>
    </w:p>
    <w:p w14:paraId="15FE9235" w14:textId="77777777" w:rsidR="007910A5" w:rsidRPr="007910A5" w:rsidRDefault="007910A5" w:rsidP="007910A5">
      <w:pPr>
        <w:rPr>
          <w:rFonts w:cs="Arial"/>
          <w:szCs w:val="24"/>
          <w:lang w:val="es-MX"/>
        </w:rPr>
      </w:pPr>
    </w:p>
    <w:p w14:paraId="3B92A5A8" w14:textId="71045D15" w:rsidR="00B944EF" w:rsidRPr="007910A5" w:rsidRDefault="007910A5" w:rsidP="007910A5">
      <w:pPr>
        <w:jc w:val="center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Fuente. Rediseñado a partir de </w:t>
      </w:r>
      <w:proofErr w:type="spellStart"/>
      <w:r w:rsidRPr="007910A5">
        <w:rPr>
          <w:rFonts w:cs="Arial"/>
          <w:sz w:val="20"/>
          <w:lang w:val="es-MX"/>
        </w:rPr>
        <w:t>ISOTools</w:t>
      </w:r>
      <w:proofErr w:type="spellEnd"/>
      <w:r w:rsidRPr="007910A5">
        <w:rPr>
          <w:rFonts w:cs="Arial"/>
          <w:sz w:val="20"/>
          <w:lang w:val="es-MX"/>
        </w:rPr>
        <w:t xml:space="preserve"> </w:t>
      </w:r>
      <w:proofErr w:type="spellStart"/>
      <w:r w:rsidRPr="007910A5">
        <w:rPr>
          <w:rFonts w:cs="Arial"/>
          <w:sz w:val="20"/>
          <w:lang w:val="es-MX"/>
        </w:rPr>
        <w:t>Excellence</w:t>
      </w:r>
      <w:proofErr w:type="spellEnd"/>
      <w:r w:rsidRPr="007910A5">
        <w:rPr>
          <w:rFonts w:cs="Arial"/>
          <w:sz w:val="20"/>
          <w:lang w:val="es-MX"/>
        </w:rPr>
        <w:t xml:space="preserve">. (2018). </w:t>
      </w:r>
      <w:r w:rsidR="00B944EF" w:rsidRPr="007910A5">
        <w:rPr>
          <w:rFonts w:cs="Arial"/>
          <w:sz w:val="20"/>
          <w:lang w:val="es-MX"/>
        </w:rPr>
        <w:t xml:space="preserve">Webinar </w:t>
      </w:r>
      <w:proofErr w:type="spellStart"/>
      <w:r w:rsidR="00B944EF" w:rsidRPr="007910A5">
        <w:rPr>
          <w:rFonts w:cs="Arial"/>
          <w:sz w:val="20"/>
          <w:lang w:val="es-MX"/>
        </w:rPr>
        <w:t>ISOTools</w:t>
      </w:r>
      <w:proofErr w:type="spellEnd"/>
      <w:r w:rsidR="00B944EF" w:rsidRPr="007910A5">
        <w:rPr>
          <w:rFonts w:cs="Arial"/>
          <w:sz w:val="20"/>
          <w:lang w:val="es-MX"/>
        </w:rPr>
        <w:t xml:space="preserve">. Implementación del Decreto 1072 y Fases de Implementación según Resolución 1111 I. [Video]. Recuperado de: </w:t>
      </w:r>
      <w:hyperlink r:id="rId9" w:history="1">
        <w:r w:rsidR="00B944EF" w:rsidRPr="007910A5">
          <w:rPr>
            <w:rStyle w:val="Hipervnculo"/>
            <w:rFonts w:cs="Arial"/>
            <w:sz w:val="20"/>
            <w:lang w:val="es-MX"/>
          </w:rPr>
          <w:t>https://www.youtube.com/watch?v=PcacarBuqUU</w:t>
        </w:r>
      </w:hyperlink>
    </w:p>
    <w:p w14:paraId="03E9E72A" w14:textId="77777777" w:rsidR="00260BD5" w:rsidRPr="007C22A1" w:rsidRDefault="00260BD5" w:rsidP="00260BD5">
      <w:pPr>
        <w:rPr>
          <w:rFonts w:cs="Arial"/>
          <w:szCs w:val="24"/>
        </w:rPr>
      </w:pPr>
    </w:p>
    <w:p w14:paraId="3F55F486" w14:textId="77777777" w:rsidR="00D22F93" w:rsidRPr="008C4A0C" w:rsidRDefault="00D22F93" w:rsidP="00D22F93">
      <w:pPr>
        <w:jc w:val="left"/>
        <w:rPr>
          <w:rFonts w:cs="Arial"/>
          <w:b/>
          <w:color w:val="000000" w:themeColor="text1"/>
          <w:szCs w:val="24"/>
          <w:lang w:eastAsia="es-ES"/>
        </w:rPr>
      </w:pPr>
      <w:r w:rsidRPr="008C4A0C">
        <w:rPr>
          <w:rFonts w:cs="Arial"/>
          <w:b/>
          <w:color w:val="000000" w:themeColor="text1"/>
          <w:szCs w:val="24"/>
          <w:lang w:eastAsia="es-ES"/>
        </w:rPr>
        <w:t>Decretos relevantes de seguridad y salud en el trabajo</w:t>
      </w:r>
    </w:p>
    <w:p w14:paraId="5F929058" w14:textId="766ABB3B" w:rsidR="00D22F93" w:rsidRDefault="00D22F93" w:rsidP="00260BD5">
      <w:pPr>
        <w:rPr>
          <w:rFonts w:cs="Arial"/>
          <w:szCs w:val="24"/>
        </w:rPr>
      </w:pPr>
    </w:p>
    <w:p w14:paraId="779DC522" w14:textId="6F37A38B" w:rsidR="002C6B9B" w:rsidRDefault="002C6B9B" w:rsidP="00260BD5">
      <w:pPr>
        <w:rPr>
          <w:rFonts w:cs="Arial"/>
          <w:szCs w:val="24"/>
        </w:rPr>
      </w:pPr>
      <w:commentRangeStart w:id="3"/>
      <w:r>
        <w:rPr>
          <w:noProof/>
          <w:lang w:val="en-US" w:eastAsia="en-US"/>
        </w:rPr>
        <w:drawing>
          <wp:inline distT="0" distB="0" distL="0" distR="0" wp14:anchorId="2A78275C" wp14:editId="202E31AE">
            <wp:extent cx="2686050" cy="2110280"/>
            <wp:effectExtent l="0" t="0" r="0" b="4445"/>
            <wp:docPr id="7" name="Imagen 7" descr="Libro de leyes dibujado a mano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bro de leyes dibujado a mano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56" cy="21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3"/>
      <w:r>
        <w:rPr>
          <w:rStyle w:val="Refdecomentario"/>
        </w:rPr>
        <w:commentReference w:id="3"/>
      </w:r>
    </w:p>
    <w:p w14:paraId="017B73FE" w14:textId="77777777" w:rsidR="002C6B9B" w:rsidRDefault="002C6B9B" w:rsidP="00260BD5">
      <w:pPr>
        <w:rPr>
          <w:rFonts w:cs="Arial"/>
          <w:szCs w:val="24"/>
        </w:rPr>
      </w:pPr>
    </w:p>
    <w:p w14:paraId="14B86DBE" w14:textId="77777777" w:rsidR="00260BD5" w:rsidRPr="007C22A1" w:rsidRDefault="00260BD5" w:rsidP="00260BD5">
      <w:pPr>
        <w:rPr>
          <w:rFonts w:cs="Arial"/>
          <w:szCs w:val="24"/>
        </w:rPr>
      </w:pPr>
      <w:r w:rsidRPr="007C22A1">
        <w:rPr>
          <w:rFonts w:cs="Arial"/>
          <w:szCs w:val="24"/>
        </w:rPr>
        <w:t xml:space="preserve">Los decretos, de acuerdo con la pirámide de Kelsen, se encuentran en el nivel inferior de las leyes y en la mayoría de los casos son expedidos por la Presidencia de la República </w:t>
      </w:r>
      <w:r w:rsidR="007C22A1">
        <w:rPr>
          <w:rFonts w:cs="Arial"/>
          <w:szCs w:val="24"/>
        </w:rPr>
        <w:t>o los respectivos ministerios,</w:t>
      </w:r>
      <w:r w:rsidRPr="007C22A1">
        <w:rPr>
          <w:rFonts w:cs="Arial"/>
          <w:szCs w:val="24"/>
        </w:rPr>
        <w:t xml:space="preserve"> según su responsabilidad y área de influencia, cuyos decretos más significativos en el área de estudio se evidencian a continuación:</w:t>
      </w:r>
    </w:p>
    <w:p w14:paraId="0256C979" w14:textId="77777777" w:rsidR="00260BD5" w:rsidRPr="007C22A1" w:rsidRDefault="00260BD5" w:rsidP="00260BD5">
      <w:pPr>
        <w:rPr>
          <w:rFonts w:cs="Arial"/>
          <w:szCs w:val="24"/>
        </w:rPr>
      </w:pPr>
    </w:p>
    <w:p w14:paraId="567BEA51" w14:textId="77777777" w:rsidR="00260BD5" w:rsidRPr="007C22A1" w:rsidRDefault="00260BD5" w:rsidP="00260BD5">
      <w:pPr>
        <w:rPr>
          <w:rFonts w:cs="Arial"/>
          <w:szCs w:val="24"/>
        </w:rPr>
      </w:pPr>
    </w:p>
    <w:tbl>
      <w:tblPr>
        <w:tblStyle w:val="Tablaconcuadrcula"/>
        <w:tblW w:w="8838" w:type="dxa"/>
        <w:tblLayout w:type="fixed"/>
        <w:tblLook w:val="06A0" w:firstRow="1" w:lastRow="0" w:firstColumn="1" w:lastColumn="0" w:noHBand="1" w:noVBand="1"/>
      </w:tblPr>
      <w:tblGrid>
        <w:gridCol w:w="1575"/>
        <w:gridCol w:w="2250"/>
        <w:gridCol w:w="5013"/>
      </w:tblGrid>
      <w:tr w:rsidR="00260BD5" w:rsidRPr="007C22A1" w14:paraId="3957A2FB" w14:textId="77777777" w:rsidTr="004350D9">
        <w:tc>
          <w:tcPr>
            <w:tcW w:w="1575" w:type="dxa"/>
          </w:tcPr>
          <w:p w14:paraId="6AD90A94" w14:textId="77777777" w:rsidR="00260BD5" w:rsidRPr="007C22A1" w:rsidRDefault="00260BD5" w:rsidP="004350D9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7C22A1">
              <w:rPr>
                <w:rFonts w:cs="Arial"/>
                <w:b/>
                <w:bCs/>
                <w:szCs w:val="24"/>
              </w:rPr>
              <w:t>Decreto</w:t>
            </w:r>
          </w:p>
        </w:tc>
        <w:tc>
          <w:tcPr>
            <w:tcW w:w="2250" w:type="dxa"/>
          </w:tcPr>
          <w:p w14:paraId="2377C8DA" w14:textId="77777777" w:rsidR="00260BD5" w:rsidRPr="007C22A1" w:rsidRDefault="007C22A1" w:rsidP="004350D9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7C22A1">
              <w:rPr>
                <w:rFonts w:cs="Arial"/>
                <w:b/>
                <w:bCs/>
                <w:szCs w:val="24"/>
              </w:rPr>
              <w:t>Descripción</w:t>
            </w:r>
          </w:p>
        </w:tc>
        <w:tc>
          <w:tcPr>
            <w:tcW w:w="5013" w:type="dxa"/>
          </w:tcPr>
          <w:p w14:paraId="45611B0D" w14:textId="77777777" w:rsidR="00260BD5" w:rsidRPr="007C22A1" w:rsidRDefault="00260BD5" w:rsidP="004350D9">
            <w:pPr>
              <w:spacing w:line="259" w:lineRule="auto"/>
              <w:jc w:val="center"/>
              <w:rPr>
                <w:rFonts w:cs="Arial"/>
                <w:szCs w:val="24"/>
              </w:rPr>
            </w:pPr>
            <w:r w:rsidRPr="007C22A1">
              <w:rPr>
                <w:rFonts w:cs="Arial"/>
                <w:b/>
                <w:bCs/>
                <w:szCs w:val="24"/>
              </w:rPr>
              <w:t>Aspectos relevantes</w:t>
            </w:r>
          </w:p>
        </w:tc>
      </w:tr>
      <w:tr w:rsidR="00260BD5" w:rsidRPr="007C22A1" w14:paraId="76341F79" w14:textId="77777777" w:rsidTr="004350D9">
        <w:tc>
          <w:tcPr>
            <w:tcW w:w="1575" w:type="dxa"/>
            <w:vAlign w:val="center"/>
          </w:tcPr>
          <w:p w14:paraId="7214482E" w14:textId="77777777" w:rsidR="00260BD5" w:rsidRPr="007C22A1" w:rsidRDefault="00260BD5" w:rsidP="004350D9">
            <w:pPr>
              <w:jc w:val="center"/>
              <w:rPr>
                <w:rFonts w:cs="Arial"/>
                <w:b/>
                <w:szCs w:val="24"/>
              </w:rPr>
            </w:pPr>
            <w:r w:rsidRPr="007C22A1">
              <w:rPr>
                <w:rFonts w:cs="Arial"/>
                <w:b/>
                <w:szCs w:val="24"/>
              </w:rPr>
              <w:lastRenderedPageBreak/>
              <w:t>Decreto 1072 de 2015</w:t>
            </w:r>
          </w:p>
        </w:tc>
        <w:tc>
          <w:tcPr>
            <w:tcW w:w="2250" w:type="dxa"/>
            <w:vAlign w:val="center"/>
          </w:tcPr>
          <w:p w14:paraId="0F21F41E" w14:textId="77777777" w:rsidR="00260BD5" w:rsidRPr="007C22A1" w:rsidRDefault="00260BD5" w:rsidP="004350D9">
            <w:pPr>
              <w:rPr>
                <w:rFonts w:cs="Arial"/>
                <w:szCs w:val="24"/>
              </w:rPr>
            </w:pPr>
            <w:r w:rsidRPr="007C22A1">
              <w:rPr>
                <w:rFonts w:eastAsia="Arial" w:cs="Arial"/>
                <w:szCs w:val="24"/>
              </w:rPr>
              <w:t>Por medio del cual se expide el Decreto Único Reglamentario del Sector Trabajo</w:t>
            </w:r>
            <w:r w:rsidR="007C22A1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5013" w:type="dxa"/>
          </w:tcPr>
          <w:p w14:paraId="249EC97D" w14:textId="77777777" w:rsidR="00260BD5" w:rsidRPr="007C22A1" w:rsidRDefault="007C22A1" w:rsidP="00260BD5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</w:t>
            </w:r>
            <w:r w:rsidR="00260BD5" w:rsidRPr="007C22A1">
              <w:rPr>
                <w:rFonts w:cs="Arial"/>
                <w:szCs w:val="24"/>
              </w:rPr>
              <w:t xml:space="preserve"> un compendio general de las normas y generalidades de seguridad y salud en el trabajo.</w:t>
            </w:r>
          </w:p>
          <w:p w14:paraId="7AA488CA" w14:textId="77777777" w:rsidR="00260BD5" w:rsidRPr="007C22A1" w:rsidRDefault="00260BD5" w:rsidP="00260BD5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7C22A1">
              <w:rPr>
                <w:rFonts w:cs="Arial"/>
                <w:szCs w:val="24"/>
              </w:rPr>
              <w:t>Indica los aspectos a tener en cuenta en el diseño e implementación del Sistema de Gestión de Seguridad y salud en el trabajo</w:t>
            </w:r>
            <w:r w:rsidR="007C22A1">
              <w:rPr>
                <w:rFonts w:cs="Arial"/>
                <w:szCs w:val="24"/>
              </w:rPr>
              <w:t xml:space="preserve"> y</w:t>
            </w:r>
            <w:r w:rsidRPr="007C22A1">
              <w:rPr>
                <w:rFonts w:cs="Arial"/>
                <w:szCs w:val="24"/>
              </w:rPr>
              <w:t xml:space="preserve"> dotación</w:t>
            </w:r>
            <w:r w:rsidR="007C22A1">
              <w:rPr>
                <w:rFonts w:cs="Arial"/>
                <w:szCs w:val="24"/>
              </w:rPr>
              <w:t>.</w:t>
            </w:r>
          </w:p>
          <w:p w14:paraId="1520990F" w14:textId="77777777" w:rsidR="00260BD5" w:rsidRPr="007C22A1" w:rsidRDefault="00260BD5" w:rsidP="00260BD5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7C22A1">
              <w:rPr>
                <w:rFonts w:cs="Arial"/>
                <w:szCs w:val="24"/>
              </w:rPr>
              <w:t>Define aspectos a nivel de temas laborales en relación a tipos de contrato, cajas de compensación familiar, prestaciones sociales.</w:t>
            </w:r>
          </w:p>
          <w:p w14:paraId="1E9C88AD" w14:textId="77777777" w:rsidR="00260BD5" w:rsidRPr="007C22A1" w:rsidRDefault="00260BD5" w:rsidP="004350D9">
            <w:pPr>
              <w:ind w:left="360"/>
              <w:rPr>
                <w:rFonts w:cs="Arial"/>
                <w:szCs w:val="24"/>
              </w:rPr>
            </w:pPr>
          </w:p>
        </w:tc>
      </w:tr>
      <w:tr w:rsidR="00260BD5" w:rsidRPr="007C22A1" w14:paraId="7A72DE84" w14:textId="77777777" w:rsidTr="004350D9">
        <w:tc>
          <w:tcPr>
            <w:tcW w:w="1575" w:type="dxa"/>
            <w:vAlign w:val="center"/>
          </w:tcPr>
          <w:p w14:paraId="48A861DD" w14:textId="77777777" w:rsidR="00260BD5" w:rsidRPr="007C22A1" w:rsidRDefault="00260BD5" w:rsidP="004350D9">
            <w:pPr>
              <w:jc w:val="center"/>
              <w:rPr>
                <w:rFonts w:cs="Arial"/>
                <w:b/>
                <w:szCs w:val="24"/>
              </w:rPr>
            </w:pPr>
            <w:r w:rsidRPr="007C22A1">
              <w:rPr>
                <w:rFonts w:cs="Arial"/>
                <w:b/>
                <w:szCs w:val="24"/>
              </w:rPr>
              <w:t>Decreto 614 de 1984</w:t>
            </w:r>
          </w:p>
        </w:tc>
        <w:tc>
          <w:tcPr>
            <w:tcW w:w="2250" w:type="dxa"/>
            <w:vAlign w:val="center"/>
          </w:tcPr>
          <w:p w14:paraId="7EBF2D54" w14:textId="77777777" w:rsidR="00260BD5" w:rsidRPr="007C22A1" w:rsidRDefault="00260BD5" w:rsidP="004350D9">
            <w:pPr>
              <w:rPr>
                <w:rFonts w:cs="Arial"/>
                <w:szCs w:val="24"/>
              </w:rPr>
            </w:pPr>
            <w:r w:rsidRPr="007C22A1">
              <w:rPr>
                <w:rFonts w:eastAsia="Arial" w:cs="Arial"/>
                <w:szCs w:val="24"/>
              </w:rPr>
              <w:t>Por el cual se determina</w:t>
            </w:r>
            <w:r w:rsidR="007C22A1">
              <w:rPr>
                <w:rFonts w:eastAsia="Arial" w:cs="Arial"/>
                <w:szCs w:val="24"/>
              </w:rPr>
              <w:t>n</w:t>
            </w:r>
            <w:r w:rsidRPr="007C22A1">
              <w:rPr>
                <w:rFonts w:eastAsia="Arial" w:cs="Arial"/>
                <w:szCs w:val="24"/>
              </w:rPr>
              <w:t xml:space="preserve"> las bases para la organización de la administración de salud ocupacional en el país</w:t>
            </w:r>
            <w:r w:rsidR="007C22A1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5013" w:type="dxa"/>
            <w:vAlign w:val="center"/>
          </w:tcPr>
          <w:p w14:paraId="073AEBC0" w14:textId="77777777" w:rsidR="00260BD5" w:rsidRPr="007C22A1" w:rsidRDefault="00260BD5" w:rsidP="004350D9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7C22A1">
              <w:rPr>
                <w:rFonts w:cs="Arial"/>
                <w:szCs w:val="24"/>
              </w:rPr>
              <w:t>Se definen los subprogramas de salud ocupacional, el cual se encuentra divido en medicina preventiva y del trabajo, seguridad e higiene industrial.</w:t>
            </w:r>
          </w:p>
        </w:tc>
      </w:tr>
      <w:tr w:rsidR="00260BD5" w:rsidRPr="007C22A1" w14:paraId="6AA9AAD3" w14:textId="77777777" w:rsidTr="004350D9">
        <w:tc>
          <w:tcPr>
            <w:tcW w:w="1575" w:type="dxa"/>
            <w:vAlign w:val="center"/>
          </w:tcPr>
          <w:p w14:paraId="23CF6FE1" w14:textId="77777777" w:rsidR="00260BD5" w:rsidRPr="007C22A1" w:rsidRDefault="00260BD5" w:rsidP="004350D9">
            <w:pPr>
              <w:jc w:val="center"/>
              <w:rPr>
                <w:rFonts w:cs="Arial"/>
                <w:b/>
                <w:szCs w:val="24"/>
              </w:rPr>
            </w:pPr>
            <w:r w:rsidRPr="007C22A1">
              <w:rPr>
                <w:rFonts w:cs="Arial"/>
                <w:b/>
                <w:szCs w:val="24"/>
              </w:rPr>
              <w:t>Decreto 1295 de 1994</w:t>
            </w:r>
          </w:p>
        </w:tc>
        <w:tc>
          <w:tcPr>
            <w:tcW w:w="2250" w:type="dxa"/>
          </w:tcPr>
          <w:p w14:paraId="6803E360" w14:textId="77777777" w:rsidR="00260BD5" w:rsidRPr="007C22A1" w:rsidRDefault="00260BD5" w:rsidP="004350D9">
            <w:pPr>
              <w:rPr>
                <w:rFonts w:cs="Arial"/>
                <w:szCs w:val="24"/>
              </w:rPr>
            </w:pPr>
            <w:r w:rsidRPr="007C22A1">
              <w:rPr>
                <w:rFonts w:eastAsia="Arial" w:cs="Arial"/>
                <w:szCs w:val="24"/>
              </w:rPr>
              <w:t>Por el cual se determina la organización y administración del Sistema General de Riesgos Profesionales</w:t>
            </w:r>
            <w:r w:rsidR="007C22A1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5013" w:type="dxa"/>
            <w:vAlign w:val="center"/>
          </w:tcPr>
          <w:p w14:paraId="7836D581" w14:textId="77777777" w:rsidR="00260BD5" w:rsidRPr="007C22A1" w:rsidRDefault="007C22A1" w:rsidP="007C22A1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 los aspectos </w:t>
            </w:r>
            <w:r w:rsidR="00260BD5" w:rsidRPr="007C22A1">
              <w:rPr>
                <w:rFonts w:cs="Arial"/>
                <w:szCs w:val="24"/>
              </w:rPr>
              <w:t>del sistema general de riesgos profesionales</w:t>
            </w:r>
            <w:r>
              <w:rPr>
                <w:rFonts w:cs="Arial"/>
                <w:szCs w:val="24"/>
              </w:rPr>
              <w:t xml:space="preserve"> relacionados con</w:t>
            </w:r>
            <w:r w:rsidR="00260BD5" w:rsidRPr="007C22A1">
              <w:rPr>
                <w:rFonts w:cs="Arial"/>
                <w:szCs w:val="24"/>
              </w:rPr>
              <w:t xml:space="preserve"> la clasificación por tipo de riesgo, pagos de pensión por invalidez y campo.</w:t>
            </w:r>
          </w:p>
        </w:tc>
      </w:tr>
    </w:tbl>
    <w:p w14:paraId="0A0B4F53" w14:textId="77777777" w:rsidR="00260BD5" w:rsidRPr="007C22A1" w:rsidRDefault="00260BD5" w:rsidP="00260BD5">
      <w:pPr>
        <w:rPr>
          <w:rFonts w:cs="Arial"/>
          <w:szCs w:val="24"/>
        </w:rPr>
      </w:pPr>
    </w:p>
    <w:p w14:paraId="6EEEE17D" w14:textId="77777777" w:rsidR="00C208C4" w:rsidRPr="005F02ED" w:rsidRDefault="00D22F93" w:rsidP="002C293A">
      <w:pPr>
        <w:jc w:val="center"/>
        <w:rPr>
          <w:rFonts w:cs="Arial"/>
          <w:color w:val="000000" w:themeColor="text1"/>
          <w:sz w:val="20"/>
          <w:lang w:eastAsia="es-ES"/>
        </w:rPr>
      </w:pPr>
      <w:r w:rsidRPr="005F02ED">
        <w:rPr>
          <w:rFonts w:cs="Arial"/>
          <w:color w:val="000000" w:themeColor="text1"/>
          <w:sz w:val="20"/>
          <w:lang w:eastAsia="es-ES"/>
        </w:rPr>
        <w:t>Decretos relevantes de s</w:t>
      </w:r>
      <w:r w:rsidR="00C208C4" w:rsidRPr="005F02ED">
        <w:rPr>
          <w:rFonts w:cs="Arial"/>
          <w:color w:val="000000" w:themeColor="text1"/>
          <w:sz w:val="20"/>
          <w:lang w:eastAsia="es-ES"/>
        </w:rPr>
        <w:t>eguridad y salud en el trabajo</w:t>
      </w:r>
    </w:p>
    <w:p w14:paraId="5D4D7D68" w14:textId="77777777" w:rsidR="00C208C4" w:rsidRDefault="00C208C4" w:rsidP="00260BD5">
      <w:pPr>
        <w:jc w:val="left"/>
        <w:rPr>
          <w:rFonts w:cs="Arial"/>
          <w:color w:val="000000" w:themeColor="text1"/>
          <w:szCs w:val="24"/>
          <w:lang w:eastAsia="es-ES"/>
        </w:rPr>
      </w:pPr>
    </w:p>
    <w:p w14:paraId="00D0E882" w14:textId="77777777" w:rsidR="00260BD5" w:rsidRPr="007C22A1" w:rsidRDefault="00260BD5" w:rsidP="00260BD5">
      <w:pPr>
        <w:rPr>
          <w:rFonts w:cs="Arial"/>
          <w:b/>
          <w:szCs w:val="24"/>
        </w:rPr>
      </w:pPr>
    </w:p>
    <w:p w14:paraId="69748204" w14:textId="77777777" w:rsidR="00260BD5" w:rsidRPr="007C22A1" w:rsidRDefault="00260BD5" w:rsidP="00260BD5">
      <w:pPr>
        <w:rPr>
          <w:rFonts w:cs="Arial"/>
          <w:b/>
          <w:szCs w:val="24"/>
        </w:rPr>
      </w:pPr>
    </w:p>
    <w:p w14:paraId="35ACB589" w14:textId="77777777" w:rsidR="00260BD5" w:rsidRPr="007C22A1" w:rsidRDefault="00260BD5" w:rsidP="00260BD5">
      <w:pPr>
        <w:rPr>
          <w:rFonts w:cs="Arial"/>
          <w:b/>
          <w:szCs w:val="24"/>
        </w:rPr>
      </w:pPr>
    </w:p>
    <w:p w14:paraId="3DBD2528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1C4747F3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759FF5A3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149F6F8B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4386EEC1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2A8231FD" w14:textId="77777777" w:rsidR="00260BD5" w:rsidRPr="007C22A1" w:rsidRDefault="00260BD5" w:rsidP="00260BD5">
      <w:pPr>
        <w:rPr>
          <w:rFonts w:cs="Arial"/>
          <w:color w:val="000000" w:themeColor="text1"/>
          <w:szCs w:val="24"/>
          <w:lang w:eastAsia="es-ES"/>
        </w:rPr>
      </w:pPr>
    </w:p>
    <w:p w14:paraId="5FC48283" w14:textId="77777777" w:rsidR="00260BD5" w:rsidRPr="007C22A1" w:rsidRDefault="00260BD5" w:rsidP="00260BD5">
      <w:pPr>
        <w:rPr>
          <w:rFonts w:cs="Arial"/>
          <w:szCs w:val="24"/>
        </w:rPr>
      </w:pPr>
    </w:p>
    <w:p w14:paraId="10CFBFFF" w14:textId="77777777" w:rsidR="00260BD5" w:rsidRPr="007C22A1" w:rsidRDefault="00260BD5" w:rsidP="00260BD5">
      <w:pPr>
        <w:rPr>
          <w:rFonts w:cs="Arial"/>
          <w:szCs w:val="24"/>
        </w:rPr>
      </w:pPr>
    </w:p>
    <w:p w14:paraId="0D055C67" w14:textId="77777777" w:rsidR="00260BD5" w:rsidRPr="007C22A1" w:rsidRDefault="00260BD5" w:rsidP="00260BD5">
      <w:pPr>
        <w:rPr>
          <w:rFonts w:cs="Arial"/>
          <w:szCs w:val="24"/>
        </w:rPr>
      </w:pPr>
    </w:p>
    <w:p w14:paraId="21B688D4" w14:textId="77777777" w:rsidR="002E212D" w:rsidRPr="007C22A1" w:rsidRDefault="002E212D">
      <w:pPr>
        <w:rPr>
          <w:rFonts w:cs="Arial"/>
          <w:szCs w:val="24"/>
        </w:rPr>
      </w:pPr>
    </w:p>
    <w:sectPr w:rsidR="002E212D" w:rsidRPr="007C2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ena Salas" w:date="2020-10-21T12:40:00Z" w:initials="MS">
    <w:p w14:paraId="6E6DE5A9" w14:textId="77777777" w:rsidR="005A2AD6" w:rsidRDefault="005A2AD6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color w:val="080808"/>
          <w:sz w:val="18"/>
          <w:szCs w:val="18"/>
          <w:shd w:val="clear" w:color="auto" w:fill="F4F4F4"/>
        </w:rPr>
        <w:t>1170365554</w:t>
      </w:r>
    </w:p>
  </w:comment>
  <w:comment w:id="2" w:author="Milena Salas" w:date="2020-10-21T12:55:00Z" w:initials="MS">
    <w:p w14:paraId="3553DF49" w14:textId="6D47D380" w:rsidR="006C4736" w:rsidRDefault="006C4736">
      <w:pPr>
        <w:pStyle w:val="Textocomentario"/>
      </w:pPr>
      <w:r>
        <w:rPr>
          <w:rStyle w:val="Refdecomentario"/>
        </w:rPr>
        <w:annotationRef/>
      </w:r>
      <w:r>
        <w:t>Redibujar:</w:t>
      </w:r>
    </w:p>
    <w:p w14:paraId="7789D433" w14:textId="7D9EAEB8" w:rsidR="006C4736" w:rsidRDefault="006C4736">
      <w:pPr>
        <w:pStyle w:val="Textocomentario"/>
      </w:pPr>
    </w:p>
    <w:p w14:paraId="4BA1D555" w14:textId="619E7D09" w:rsidR="006C4736" w:rsidRDefault="006C4736">
      <w:pPr>
        <w:pStyle w:val="Textocomentario"/>
      </w:pPr>
      <w:r>
        <w:t>Acción correctiva</w:t>
      </w:r>
      <w:r w:rsidR="00BD0291">
        <w:t>, mejora y prevención.</w:t>
      </w:r>
    </w:p>
    <w:p w14:paraId="039302A0" w14:textId="234FA4BE" w:rsidR="00BD0291" w:rsidRDefault="00BD0291">
      <w:pPr>
        <w:pStyle w:val="Textocomentario"/>
      </w:pPr>
      <w:r>
        <w:t>Amenaza.</w:t>
      </w:r>
    </w:p>
    <w:p w14:paraId="15AE4CF9" w14:textId="416FDCD3" w:rsidR="00BD0291" w:rsidRDefault="00BD0291">
      <w:pPr>
        <w:pStyle w:val="Textocomentario"/>
      </w:pPr>
      <w:r>
        <w:t>Autoreporte de condiciones de salud.</w:t>
      </w:r>
    </w:p>
    <w:p w14:paraId="7B774F49" w14:textId="2B8B5BE2" w:rsidR="00BD0291" w:rsidRDefault="00BD0291">
      <w:pPr>
        <w:pStyle w:val="Textocomentario"/>
      </w:pPr>
      <w:r>
        <w:t>Ciclo PHVA.</w:t>
      </w:r>
    </w:p>
    <w:p w14:paraId="7C7A6C6E" w14:textId="6051CFB7" w:rsidR="00BD0291" w:rsidRDefault="00BD0291">
      <w:pPr>
        <w:pStyle w:val="Textocomentario"/>
      </w:pPr>
      <w:r>
        <w:t>Emergencia.</w:t>
      </w:r>
    </w:p>
    <w:p w14:paraId="3D9A86BB" w14:textId="4578BD14" w:rsidR="00BD0291" w:rsidRDefault="00BD0291">
      <w:pPr>
        <w:pStyle w:val="Textocomentario"/>
      </w:pPr>
      <w:r>
        <w:t>Identificación y evaluación del peligro.</w:t>
      </w:r>
    </w:p>
    <w:p w14:paraId="43FA8268" w14:textId="63F65BE4" w:rsidR="00BD0291" w:rsidRDefault="00BD0291">
      <w:pPr>
        <w:pStyle w:val="Textocomentario"/>
      </w:pPr>
      <w:r>
        <w:t>Indicadores de estructura, proceso y resultado.</w:t>
      </w:r>
    </w:p>
    <w:p w14:paraId="7D301922" w14:textId="7D60C444" w:rsidR="00BD0291" w:rsidRDefault="00BD0291">
      <w:pPr>
        <w:pStyle w:val="Textocomentario"/>
      </w:pPr>
      <w:r>
        <w:t>Mejora continua.</w:t>
      </w:r>
    </w:p>
    <w:p w14:paraId="0456570C" w14:textId="11C9E0DB" w:rsidR="00BD0291" w:rsidRDefault="00BD0291">
      <w:pPr>
        <w:pStyle w:val="Textocomentario"/>
      </w:pPr>
      <w:r>
        <w:t>Peligro.</w:t>
      </w:r>
    </w:p>
    <w:p w14:paraId="08C3E3D7" w14:textId="1DB4EBB8" w:rsidR="00BD0291" w:rsidRDefault="00BD0291">
      <w:pPr>
        <w:pStyle w:val="Textocomentario"/>
      </w:pPr>
      <w:r>
        <w:t>Riesgo.</w:t>
      </w:r>
    </w:p>
    <w:p w14:paraId="40C3A4DF" w14:textId="5DF11937" w:rsidR="00BD0291" w:rsidRDefault="00BD0291">
      <w:pPr>
        <w:pStyle w:val="Textocomentario"/>
      </w:pPr>
      <w:r>
        <w:t>Seguridad y salud en el trabajo.</w:t>
      </w:r>
    </w:p>
    <w:p w14:paraId="05612CAC" w14:textId="468B765C" w:rsidR="00BD0291" w:rsidRDefault="00BD0291">
      <w:pPr>
        <w:pStyle w:val="Textocomentario"/>
      </w:pPr>
      <w:r>
        <w:t>SG-SST.</w:t>
      </w:r>
    </w:p>
    <w:p w14:paraId="2E4C1286" w14:textId="77777777" w:rsidR="00BD0291" w:rsidRDefault="00BD0291">
      <w:pPr>
        <w:pStyle w:val="Textocomentario"/>
      </w:pPr>
    </w:p>
  </w:comment>
  <w:comment w:id="3" w:author="Milena Salas" w:date="2020-10-21T12:54:00Z" w:initials="MS">
    <w:p w14:paraId="2734B063" w14:textId="11566AFB" w:rsidR="002C6B9B" w:rsidRDefault="002C6B9B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color w:val="080808"/>
          <w:sz w:val="18"/>
          <w:szCs w:val="18"/>
          <w:shd w:val="clear" w:color="auto" w:fill="F4F4F4"/>
        </w:rPr>
        <w:t>1256386497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6DE5A9" w15:done="0"/>
  <w15:commentEx w15:paraId="2E4C1286" w15:done="0"/>
  <w15:commentEx w15:paraId="2734B0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461"/>
    <w:multiLevelType w:val="hybridMultilevel"/>
    <w:tmpl w:val="9912E5F2"/>
    <w:lvl w:ilvl="0" w:tplc="01C65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AD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D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CB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7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0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A7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23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60C4"/>
    <w:multiLevelType w:val="hybridMultilevel"/>
    <w:tmpl w:val="2090A36E"/>
    <w:lvl w:ilvl="0" w:tplc="3C9A6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0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F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2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4E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B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8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7B4B"/>
    <w:multiLevelType w:val="hybridMultilevel"/>
    <w:tmpl w:val="78E8BC20"/>
    <w:lvl w:ilvl="0" w:tplc="A0903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3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EE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C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1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4C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0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0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8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D5"/>
    <w:rsid w:val="000305E6"/>
    <w:rsid w:val="00260BD5"/>
    <w:rsid w:val="002C293A"/>
    <w:rsid w:val="002C6B9B"/>
    <w:rsid w:val="002E212D"/>
    <w:rsid w:val="003342A4"/>
    <w:rsid w:val="005A2AD6"/>
    <w:rsid w:val="005F02ED"/>
    <w:rsid w:val="006B2D3D"/>
    <w:rsid w:val="006C4736"/>
    <w:rsid w:val="007910A5"/>
    <w:rsid w:val="007C22A1"/>
    <w:rsid w:val="008C4A0C"/>
    <w:rsid w:val="00B944EF"/>
    <w:rsid w:val="00BD0291"/>
    <w:rsid w:val="00C208C4"/>
    <w:rsid w:val="00C40F4E"/>
    <w:rsid w:val="00CD6032"/>
    <w:rsid w:val="00D22F93"/>
    <w:rsid w:val="00E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F656"/>
  <w15:chartTrackingRefBased/>
  <w15:docId w15:val="{A86A512C-36AB-460F-A5FC-1EA4C187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60B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0B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60BD5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0BD5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60BD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2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A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AD6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A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AD6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D6"/>
    <w:rPr>
      <w:rFonts w:ascii="Segoe UI" w:eastAsia="Times New Roman" w:hAnsi="Segoe UI" w:cs="Segoe UI"/>
      <w:sz w:val="18"/>
      <w:szCs w:val="18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7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3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8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89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1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2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1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5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22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6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87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23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6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7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7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2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6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8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cacarBuqU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13</cp:revision>
  <dcterms:created xsi:type="dcterms:W3CDTF">2020-10-21T14:46:00Z</dcterms:created>
  <dcterms:modified xsi:type="dcterms:W3CDTF">2020-10-22T04:05:00Z</dcterms:modified>
</cp:coreProperties>
</file>