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FC2" w:rsidRPr="00546EB1" w:rsidRDefault="00302FC2" w:rsidP="00302FC2">
      <w:pPr>
        <w:pStyle w:val="Prrafodelista"/>
        <w:numPr>
          <w:ilvl w:val="0"/>
          <w:numId w:val="1"/>
        </w:numPr>
        <w:pBdr>
          <w:top w:val="single" w:sz="4" w:space="1" w:color="auto"/>
        </w:pBd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color w:val="404040" w:themeColor="text1" w:themeTint="BF"/>
        </w:rPr>
      </w:pPr>
      <w:r w:rsidRPr="00546EB1">
        <w:rPr>
          <w:rFonts w:ascii="Times New Roman" w:hAnsi="Times New Roman" w:cs="Times New Roman"/>
          <w:b/>
          <w:color w:val="404040" w:themeColor="text1" w:themeTint="BF"/>
        </w:rPr>
        <w:t>GUION RECURSO MULTIMEDIA</w:t>
      </w:r>
    </w:p>
    <w:p w:rsidR="00C00FD9" w:rsidRPr="00546EB1" w:rsidRDefault="00C00FD9">
      <w:pPr>
        <w:rPr>
          <w:rFonts w:ascii="Times New Roman" w:hAnsi="Times New Roman" w:cs="Times New Roman"/>
          <w:sz w:val="24"/>
          <w:szCs w:val="24"/>
        </w:rPr>
      </w:pPr>
    </w:p>
    <w:p w:rsidR="00302FC2" w:rsidRPr="00A648F3" w:rsidRDefault="00A648F3" w:rsidP="00A648F3">
      <w:pPr>
        <w:spacing w:line="360" w:lineRule="auto"/>
        <w:rPr>
          <w:rFonts w:ascii="Times New Roman" w:hAnsi="Times New Roman"/>
          <w:bCs/>
          <w:color w:val="000000"/>
          <w:szCs w:val="24"/>
          <w:lang w:eastAsia="es-ES"/>
        </w:rPr>
      </w:pPr>
      <w:r w:rsidRPr="00546EB1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302FC2" w:rsidRPr="00546EB1">
        <w:rPr>
          <w:rFonts w:ascii="Times New Roman" w:hAnsi="Times New Roman" w:cs="Times New Roman"/>
          <w:b/>
          <w:bCs/>
          <w:sz w:val="24"/>
          <w:szCs w:val="24"/>
        </w:rPr>
        <w:t xml:space="preserve"> del recurso</w:t>
      </w:r>
      <w:r w:rsidR="00302FC2" w:rsidRPr="00546EB1">
        <w:rPr>
          <w:rFonts w:ascii="Times New Roman" w:hAnsi="Times New Roman" w:cs="Times New Roman"/>
          <w:sz w:val="24"/>
          <w:szCs w:val="24"/>
        </w:rPr>
        <w:t xml:space="preserve">: </w:t>
      </w:r>
      <w:r w:rsidR="007B5E32">
        <w:rPr>
          <w:rFonts w:ascii="Times New Roman" w:hAnsi="Times New Roman" w:cs="Times New Roman"/>
          <w:sz w:val="24"/>
          <w:szCs w:val="24"/>
        </w:rPr>
        <w:t xml:space="preserve">Gestión del cambio </w:t>
      </w:r>
    </w:p>
    <w:p w:rsidR="00302FC2" w:rsidRPr="00546EB1" w:rsidRDefault="00302FC2">
      <w:pPr>
        <w:rPr>
          <w:rFonts w:ascii="Times New Roman" w:hAnsi="Times New Roman" w:cs="Times New Roman"/>
          <w:sz w:val="24"/>
          <w:szCs w:val="24"/>
        </w:rPr>
      </w:pPr>
      <w:r w:rsidRPr="00546EB1">
        <w:rPr>
          <w:rFonts w:ascii="Times New Roman" w:hAnsi="Times New Roman" w:cs="Times New Roman"/>
          <w:b/>
          <w:bCs/>
          <w:sz w:val="24"/>
          <w:szCs w:val="24"/>
        </w:rPr>
        <w:t>Tipo de material:</w:t>
      </w:r>
      <w:r w:rsidRPr="0054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E32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="007B5E32">
        <w:rPr>
          <w:rFonts w:ascii="Times New Roman" w:hAnsi="Times New Roman" w:cs="Times New Roman"/>
          <w:sz w:val="24"/>
          <w:szCs w:val="24"/>
        </w:rPr>
        <w:t xml:space="preserve"> interactivo </w:t>
      </w:r>
      <w:r w:rsidR="00E04875">
        <w:rPr>
          <w:rFonts w:ascii="Times New Roman" w:hAnsi="Times New Roman" w:cs="Times New Roman"/>
          <w:sz w:val="24"/>
          <w:szCs w:val="24"/>
        </w:rPr>
        <w:t xml:space="preserve">– 5 ítems </w:t>
      </w:r>
    </w:p>
    <w:p w:rsidR="00302FC2" w:rsidRPr="00546EB1" w:rsidRDefault="00302F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EB1">
        <w:rPr>
          <w:rFonts w:ascii="Times New Roman" w:hAnsi="Times New Roman" w:cs="Times New Roman"/>
          <w:b/>
          <w:bCs/>
          <w:sz w:val="24"/>
          <w:szCs w:val="24"/>
        </w:rPr>
        <w:t xml:space="preserve">Recomendaciones para el diseñador: </w:t>
      </w:r>
      <w:bookmarkStart w:id="0" w:name="_GoBack"/>
      <w:bookmarkEnd w:id="0"/>
    </w:p>
    <w:p w:rsidR="00302FC2" w:rsidRDefault="00302FC2">
      <w:pPr>
        <w:rPr>
          <w:rFonts w:ascii="Times New Roman" w:hAnsi="Times New Roman" w:cs="Times New Roman"/>
          <w:sz w:val="24"/>
          <w:szCs w:val="24"/>
        </w:rPr>
      </w:pPr>
      <w:r w:rsidRPr="002911A7">
        <w:rPr>
          <w:rFonts w:ascii="Times New Roman" w:hAnsi="Times New Roman" w:cs="Times New Roman"/>
          <w:sz w:val="24"/>
          <w:szCs w:val="24"/>
          <w:highlight w:val="green"/>
        </w:rPr>
        <w:t xml:space="preserve">Realizar un </w:t>
      </w:r>
      <w:proofErr w:type="spellStart"/>
      <w:r w:rsidR="00E04875">
        <w:rPr>
          <w:rFonts w:ascii="Times New Roman" w:hAnsi="Times New Roman" w:cs="Times New Roman"/>
          <w:sz w:val="24"/>
          <w:szCs w:val="24"/>
          <w:highlight w:val="green"/>
        </w:rPr>
        <w:t>tab</w:t>
      </w:r>
      <w:proofErr w:type="spellEnd"/>
      <w:r w:rsidR="00E04875">
        <w:rPr>
          <w:rFonts w:ascii="Times New Roman" w:hAnsi="Times New Roman" w:cs="Times New Roman"/>
          <w:sz w:val="24"/>
          <w:szCs w:val="24"/>
          <w:highlight w:val="green"/>
        </w:rPr>
        <w:t xml:space="preserve"> interactivo </w:t>
      </w:r>
      <w:r w:rsidR="00E04875" w:rsidRPr="002911A7">
        <w:rPr>
          <w:rFonts w:ascii="Times New Roman" w:hAnsi="Times New Roman" w:cs="Times New Roman"/>
          <w:sz w:val="24"/>
          <w:szCs w:val="24"/>
          <w:highlight w:val="green"/>
        </w:rPr>
        <w:t>teniendo</w:t>
      </w:r>
      <w:r w:rsidRPr="002911A7">
        <w:rPr>
          <w:rFonts w:ascii="Times New Roman" w:hAnsi="Times New Roman" w:cs="Times New Roman"/>
          <w:sz w:val="24"/>
          <w:szCs w:val="24"/>
          <w:highlight w:val="green"/>
        </w:rPr>
        <w:t xml:space="preserve"> en cuenta los segmentos y las imágenes de referencia</w:t>
      </w:r>
      <w:r w:rsidR="00A50FD6" w:rsidRPr="002911A7">
        <w:rPr>
          <w:rFonts w:ascii="Times New Roman" w:hAnsi="Times New Roman" w:cs="Times New Roman"/>
          <w:sz w:val="24"/>
          <w:szCs w:val="24"/>
          <w:highlight w:val="green"/>
        </w:rPr>
        <w:t>, los textos resaltados en verde son indicaciones que debe tener en cuenta</w:t>
      </w:r>
      <w:r w:rsidR="001245EA" w:rsidRPr="002911A7">
        <w:rPr>
          <w:rFonts w:ascii="Times New Roman" w:hAnsi="Times New Roman" w:cs="Times New Roman"/>
          <w:sz w:val="24"/>
          <w:szCs w:val="24"/>
          <w:highlight w:val="green"/>
        </w:rPr>
        <w:t>, en los textos largo utilizar botones de “siguiente” y “atrás”</w:t>
      </w:r>
    </w:p>
    <w:p w:rsidR="00EF3945" w:rsidRPr="00EF3945" w:rsidRDefault="007E614A" w:rsidP="007E614A">
      <w:pPr>
        <w:pStyle w:val="Prrafodelista"/>
        <w:tabs>
          <w:tab w:val="left" w:pos="284"/>
        </w:tabs>
        <w:spacing w:after="160" w:line="360" w:lineRule="auto"/>
        <w:ind w:left="0" w:right="-568"/>
        <w:rPr>
          <w:rFonts w:ascii="Times New Roman" w:hAnsi="Times New Roman" w:cs="Times New Roman"/>
          <w:b/>
          <w:bCs/>
        </w:rPr>
      </w:pPr>
      <w:r w:rsidRPr="00EF3945">
        <w:rPr>
          <w:rFonts w:ascii="Times New Roman" w:hAnsi="Times New Roman" w:cs="Times New Roman"/>
          <w:b/>
          <w:bCs/>
        </w:rPr>
        <w:t>Texto introductorio</w:t>
      </w:r>
      <w:r w:rsidR="00AE71A4">
        <w:rPr>
          <w:rFonts w:ascii="Times New Roman" w:hAnsi="Times New Roman" w:cs="Times New Roman"/>
          <w:b/>
          <w:bCs/>
        </w:rPr>
        <w:t xml:space="preserve"> </w:t>
      </w:r>
      <w:r w:rsidR="00AE71A4" w:rsidRPr="00AE71A4">
        <w:rPr>
          <w:rFonts w:ascii="Times New Roman" w:hAnsi="Times New Roman" w:cs="Times New Roman"/>
          <w:b/>
          <w:bCs/>
          <w:highlight w:val="green"/>
        </w:rPr>
        <w:t xml:space="preserve">(primer </w:t>
      </w:r>
      <w:proofErr w:type="spellStart"/>
      <w:r w:rsidR="00AE71A4" w:rsidRPr="00AE71A4">
        <w:rPr>
          <w:rFonts w:ascii="Times New Roman" w:hAnsi="Times New Roman" w:cs="Times New Roman"/>
          <w:b/>
          <w:bCs/>
          <w:highlight w:val="green"/>
        </w:rPr>
        <w:t>slide</w:t>
      </w:r>
      <w:proofErr w:type="spellEnd"/>
      <w:r w:rsidR="00AE71A4" w:rsidRPr="00AE71A4">
        <w:rPr>
          <w:rFonts w:ascii="Times New Roman" w:hAnsi="Times New Roman" w:cs="Times New Roman"/>
          <w:b/>
          <w:bCs/>
          <w:highlight w:val="green"/>
        </w:rPr>
        <w:t>)</w:t>
      </w:r>
      <w:r w:rsidRPr="00AE71A4">
        <w:rPr>
          <w:rFonts w:ascii="Times New Roman" w:hAnsi="Times New Roman" w:cs="Times New Roman"/>
          <w:b/>
          <w:bCs/>
          <w:highlight w:val="green"/>
        </w:rPr>
        <w:t>:</w:t>
      </w:r>
    </w:p>
    <w:p w:rsidR="007B5E32" w:rsidRDefault="007B5E32" w:rsidP="00EA7393">
      <w:pPr>
        <w:pStyle w:val="Prrafodelista"/>
        <w:tabs>
          <w:tab w:val="left" w:pos="284"/>
          <w:tab w:val="left" w:pos="11010"/>
        </w:tabs>
        <w:spacing w:after="160" w:line="360" w:lineRule="auto"/>
        <w:ind w:left="0" w:right="-568"/>
        <w:rPr>
          <w:rFonts w:ascii="Times New Roman" w:hAnsi="Times New Roman"/>
          <w:color w:val="000000"/>
        </w:rPr>
      </w:pPr>
      <w:r w:rsidRPr="00006B0D">
        <w:rPr>
          <w:rFonts w:ascii="Times New Roman" w:hAnsi="Times New Roman"/>
          <w:color w:val="000000"/>
        </w:rPr>
        <w:t xml:space="preserve">La creación de un entorno propicio para el cambio surge de la organización, pero está muy orientada a permear en los individuos a través de las dinámicas de grupos. Los grupos se pueden convertir en un refuerzo para persuadir a colaboradores resistentes o, por el contrario, se puede convertir en un obstáculo adicional cuando su propósito es mantener el estado inicial de las cosas. De hecho, como señala King </w:t>
      </w:r>
      <w:r w:rsidRPr="00006B0D">
        <w:rPr>
          <w:rFonts w:ascii="Times New Roman" w:hAnsi="Times New Roman"/>
          <w:color w:val="000000"/>
        </w:rPr>
        <w:fldChar w:fldCharType="begin" w:fldLock="1"/>
      </w:r>
      <w:r w:rsidRPr="00006B0D">
        <w:rPr>
          <w:rFonts w:ascii="Times New Roman" w:hAnsi="Times New Roman"/>
          <w:color w:val="000000"/>
        </w:rPr>
        <w:instrText>ADDIN CSL_CITATION {"citationItems":[{"id":"ITEM-1","itemData":{"ISSN":"1794-9998","author":[{"dropping-particle":"","family":"García","given":"Mónica","non-dropping-particle":"","parse-names":false,"suffix":""},{"dropping-particle":"","family":"Rubio","given":"Paola","non-dropping-particle":"","parse-names":false,"suffix":""},{"dropping-particle":"","family":"Bravo","given":"Laura","non-dropping-particle":"","parse-names":false,"suffix":""}],"container-title":"Diversitas: Perspectivas en Psicología","id":"ITEM-1","issue":"2","issued":{"date-parts":[["2007"]]},"page":"301-315","title":"Relación entre los factores de riesgo psicosocial y la resistencia al cambio organizacional en personal de seguridad de una empresa del sector económico terciario","type":"article-journal","volume":"3"},"prefix":"2003, citado por","uris":["http://www.mendeley.com/documents/?uuid=aecdcaff-37c3-45d2-a175-0187d397b41c"]}],"mendeley":{"formattedCitation":"(2003, citado por García et al., 2007)","plainTextFormattedCitation":"(2003, citado por García et al., 2007)","previouslyFormattedCitation":"(2003, citado por García et al., 2007)"},"properties":{"noteIndex":0},"schema":"https://github.com/citation-style-language/schema/raw/master/csl-citation.json"}</w:instrText>
      </w:r>
      <w:r w:rsidRPr="00006B0D">
        <w:rPr>
          <w:rFonts w:ascii="Times New Roman" w:hAnsi="Times New Roman"/>
          <w:color w:val="000000"/>
        </w:rPr>
        <w:fldChar w:fldCharType="separate"/>
      </w:r>
      <w:r w:rsidRPr="00006B0D">
        <w:rPr>
          <w:rFonts w:ascii="Times New Roman" w:hAnsi="Times New Roman"/>
          <w:color w:val="000000"/>
        </w:rPr>
        <w:t>(2003, citado por García et al., 2007)</w:t>
      </w:r>
      <w:r w:rsidRPr="00006B0D">
        <w:rPr>
          <w:rFonts w:ascii="Times New Roman" w:hAnsi="Times New Roman"/>
          <w:color w:val="000000"/>
        </w:rPr>
        <w:fldChar w:fldCharType="end"/>
      </w:r>
      <w:r w:rsidRPr="00006B0D">
        <w:rPr>
          <w:rFonts w:ascii="Times New Roman" w:hAnsi="Times New Roman"/>
          <w:color w:val="000000"/>
        </w:rPr>
        <w:t>, la resistencia de grupo suele surgir como respuesta a la amenaza de pérdida que percibe el colectivo de trabajo respecto a sus prácticas actuales. En esta medida, le mejor forma de intervenir dicha resistencia es brindarle al grupo las herramientas para enfrentar mejor el cambio, esto es: poder por medio de la participación y autonomía; y orientación por medio de un liderazgo efectivo del proceso de cambio</w:t>
      </w:r>
      <w:r>
        <w:rPr>
          <w:rFonts w:ascii="Times New Roman" w:hAnsi="Times New Roman"/>
          <w:color w:val="000000"/>
        </w:rPr>
        <w:t>.</w:t>
      </w:r>
    </w:p>
    <w:p w:rsidR="00EF3945" w:rsidRPr="00EA7393" w:rsidRDefault="007E614A" w:rsidP="00EA7393">
      <w:pPr>
        <w:pStyle w:val="Prrafodelista"/>
        <w:tabs>
          <w:tab w:val="left" w:pos="284"/>
          <w:tab w:val="left" w:pos="11010"/>
        </w:tabs>
        <w:spacing w:after="160" w:line="360" w:lineRule="auto"/>
        <w:ind w:left="0" w:right="-568"/>
        <w:rPr>
          <w:rFonts w:ascii="Times New Roman" w:hAnsi="Times New Roman"/>
          <w:lang w:val="es-ES" w:eastAsia="es-ES"/>
        </w:rPr>
      </w:pPr>
      <w:r w:rsidRPr="00EF3945">
        <w:rPr>
          <w:rFonts w:ascii="Times New Roman" w:hAnsi="Times New Roman"/>
          <w:highlight w:val="green"/>
          <w:lang w:val="es-ES" w:eastAsia="es-ES"/>
        </w:rPr>
        <w:t xml:space="preserve">En el </w:t>
      </w:r>
      <w:proofErr w:type="spellStart"/>
      <w:r w:rsidRPr="00EF3945">
        <w:rPr>
          <w:rFonts w:ascii="Times New Roman" w:hAnsi="Times New Roman"/>
          <w:highlight w:val="green"/>
          <w:lang w:val="es-ES" w:eastAsia="es-ES"/>
        </w:rPr>
        <w:t>silide</w:t>
      </w:r>
      <w:proofErr w:type="spellEnd"/>
      <w:r w:rsidRPr="00EF3945">
        <w:rPr>
          <w:rFonts w:ascii="Times New Roman" w:hAnsi="Times New Roman"/>
          <w:highlight w:val="green"/>
          <w:lang w:val="es-ES" w:eastAsia="es-ES"/>
        </w:rPr>
        <w:t xml:space="preserve"> de introducción poner una imagen como la de la </w:t>
      </w:r>
      <w:r w:rsidR="001245EA" w:rsidRPr="00EF3945">
        <w:rPr>
          <w:rFonts w:ascii="Times New Roman" w:hAnsi="Times New Roman"/>
          <w:highlight w:val="green"/>
          <w:lang w:val="es-ES" w:eastAsia="es-ES"/>
        </w:rPr>
        <w:t>referencia:</w:t>
      </w:r>
      <w:r>
        <w:rPr>
          <w:rFonts w:ascii="Times New Roman" w:hAnsi="Times New Roman"/>
          <w:lang w:val="es-ES" w:eastAsia="es-ES"/>
        </w:rPr>
        <w:t xml:space="preserve"> </w:t>
      </w:r>
      <w:hyperlink r:id="rId5" w:anchor="page=1&amp;query=lider&amp;position=6" w:history="1">
        <w:r w:rsidR="002911A7">
          <w:rPr>
            <w:rStyle w:val="Hipervnculo"/>
          </w:rPr>
          <w:t>https://www.freepik.es/vector-gratis/etapas-desarrollo-crecimiento-negocios_1311558.htm#page=1&amp;query=lider&amp;position=6</w:t>
        </w:r>
      </w:hyperlink>
      <w:r>
        <w:rPr>
          <w:rFonts w:ascii="Times New Roman" w:hAnsi="Times New Roman"/>
          <w:lang w:val="es-ES" w:eastAsia="es-ES"/>
        </w:rPr>
        <w:tab/>
      </w:r>
    </w:p>
    <w:p w:rsidR="007B5E32" w:rsidRDefault="002911A7" w:rsidP="007E614A">
      <w:pPr>
        <w:pStyle w:val="Prrafodelista"/>
        <w:tabs>
          <w:tab w:val="left" w:pos="284"/>
        </w:tabs>
        <w:spacing w:after="160" w:line="360" w:lineRule="auto"/>
        <w:ind w:left="0" w:right="-568"/>
        <w:rPr>
          <w:rFonts w:ascii="Times New Roman" w:hAnsi="Times New Roman" w:cs="Times New Roman"/>
          <w:noProof/>
          <w:lang w:val="es-ES"/>
        </w:rPr>
      </w:pPr>
      <w:r w:rsidRPr="002911A7">
        <w:rPr>
          <w:noProof/>
        </w:rPr>
        <w:lastRenderedPageBreak/>
        <w:drawing>
          <wp:inline distT="0" distB="0" distL="0" distR="0" wp14:anchorId="796DA1A7" wp14:editId="07174216">
            <wp:extent cx="2324100" cy="23241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Etapas de desarrollo y crecimiento de negocios vector gratui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DF16A4" id="Rectángulo 1" o:spid="_x0000_s1026" alt="Etapas de desarrollo y crecimiento de negocios vector gratui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XcnSbhAgAAAA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487E42" w:rsidRPr="00487E42" w:rsidRDefault="00487E42" w:rsidP="00487E42">
      <w:pPr>
        <w:pStyle w:val="Piedepgina"/>
        <w:spacing w:line="360" w:lineRule="auto"/>
        <w:rPr>
          <w:rFonts w:ascii="Times New Roman" w:hAnsi="Times New Roman" w:cs="Times New Roman"/>
          <w:color w:val="0563C1" w:themeColor="hyperlink"/>
          <w:u w:val="single"/>
          <w:lang w:val="es-419"/>
        </w:rPr>
      </w:pPr>
    </w:p>
    <w:tbl>
      <w:tblPr>
        <w:tblStyle w:val="Tablaconcuadrcula"/>
        <w:tblW w:w="13603" w:type="dxa"/>
        <w:tblLayout w:type="fixed"/>
        <w:tblLook w:val="04A0" w:firstRow="1" w:lastRow="0" w:firstColumn="1" w:lastColumn="0" w:noHBand="0" w:noVBand="1"/>
      </w:tblPr>
      <w:tblGrid>
        <w:gridCol w:w="1422"/>
        <w:gridCol w:w="1889"/>
        <w:gridCol w:w="6323"/>
        <w:gridCol w:w="3969"/>
      </w:tblGrid>
      <w:tr w:rsidR="00EA7393" w:rsidRPr="001245EA" w:rsidTr="001245EA">
        <w:tc>
          <w:tcPr>
            <w:tcW w:w="1422" w:type="dxa"/>
          </w:tcPr>
          <w:p w:rsidR="00302FC2" w:rsidRPr="001245EA" w:rsidRDefault="00302FC2" w:rsidP="001245EA">
            <w:pPr>
              <w:rPr>
                <w:rFonts w:ascii="Times New Roman" w:hAnsi="Times New Roman" w:cs="Times New Roman"/>
                <w:b/>
                <w:bCs/>
              </w:rPr>
            </w:pPr>
            <w:r w:rsidRPr="001245EA">
              <w:rPr>
                <w:rFonts w:ascii="Times New Roman" w:hAnsi="Times New Roman" w:cs="Times New Roman"/>
                <w:b/>
                <w:bCs/>
              </w:rPr>
              <w:t xml:space="preserve">Segmento </w:t>
            </w:r>
          </w:p>
        </w:tc>
        <w:tc>
          <w:tcPr>
            <w:tcW w:w="1889" w:type="dxa"/>
          </w:tcPr>
          <w:p w:rsidR="00302FC2" w:rsidRPr="001245EA" w:rsidRDefault="00302FC2" w:rsidP="001245EA">
            <w:pPr>
              <w:rPr>
                <w:rFonts w:ascii="Times New Roman" w:hAnsi="Times New Roman" w:cs="Times New Roman"/>
                <w:b/>
                <w:bCs/>
              </w:rPr>
            </w:pPr>
            <w:r w:rsidRPr="001245EA">
              <w:rPr>
                <w:rFonts w:ascii="Times New Roman" w:hAnsi="Times New Roman" w:cs="Times New Roman"/>
                <w:b/>
                <w:bCs/>
              </w:rPr>
              <w:t xml:space="preserve">Nombre </w:t>
            </w:r>
          </w:p>
        </w:tc>
        <w:tc>
          <w:tcPr>
            <w:tcW w:w="6323" w:type="dxa"/>
          </w:tcPr>
          <w:p w:rsidR="00302FC2" w:rsidRPr="001245EA" w:rsidRDefault="00302FC2" w:rsidP="001245EA">
            <w:pPr>
              <w:rPr>
                <w:rFonts w:ascii="Times New Roman" w:hAnsi="Times New Roman" w:cs="Times New Roman"/>
                <w:b/>
                <w:bCs/>
              </w:rPr>
            </w:pPr>
            <w:r w:rsidRPr="001245EA">
              <w:rPr>
                <w:rFonts w:ascii="Times New Roman" w:hAnsi="Times New Roman" w:cs="Times New Roman"/>
                <w:b/>
                <w:bCs/>
              </w:rPr>
              <w:t xml:space="preserve">Imágenes de </w:t>
            </w:r>
            <w:r w:rsidR="002774CE" w:rsidRPr="001245EA">
              <w:rPr>
                <w:rFonts w:ascii="Times New Roman" w:hAnsi="Times New Roman" w:cs="Times New Roman"/>
                <w:b/>
                <w:bCs/>
              </w:rPr>
              <w:t xml:space="preserve">referencia </w:t>
            </w:r>
          </w:p>
        </w:tc>
        <w:tc>
          <w:tcPr>
            <w:tcW w:w="3969" w:type="dxa"/>
          </w:tcPr>
          <w:p w:rsidR="00302FC2" w:rsidRPr="001245EA" w:rsidRDefault="00302FC2" w:rsidP="001245EA">
            <w:pPr>
              <w:rPr>
                <w:rFonts w:ascii="Times New Roman" w:hAnsi="Times New Roman" w:cs="Times New Roman"/>
                <w:b/>
                <w:bCs/>
              </w:rPr>
            </w:pPr>
            <w:r w:rsidRPr="001245EA">
              <w:rPr>
                <w:rFonts w:ascii="Times New Roman" w:hAnsi="Times New Roman" w:cs="Times New Roman"/>
                <w:b/>
                <w:bCs/>
              </w:rPr>
              <w:t xml:space="preserve">Texto de apoyo </w:t>
            </w:r>
          </w:p>
        </w:tc>
      </w:tr>
      <w:tr w:rsidR="00EA7393" w:rsidRPr="001245EA" w:rsidTr="001245EA">
        <w:tc>
          <w:tcPr>
            <w:tcW w:w="1422" w:type="dxa"/>
          </w:tcPr>
          <w:p w:rsidR="00302FC2" w:rsidRPr="001245EA" w:rsidRDefault="00D058DF" w:rsidP="001245EA">
            <w:pPr>
              <w:rPr>
                <w:rFonts w:ascii="Times New Roman" w:hAnsi="Times New Roman" w:cs="Times New Roman"/>
              </w:rPr>
            </w:pPr>
            <w:r w:rsidRPr="001245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9" w:type="dxa"/>
          </w:tcPr>
          <w:p w:rsidR="007B5E32" w:rsidRPr="00006B0D" w:rsidRDefault="007B5E32" w:rsidP="007B5E32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4"/>
                <w:lang w:eastAsia="es-ES"/>
              </w:rPr>
            </w:pPr>
            <w:r w:rsidRPr="00006B0D">
              <w:rPr>
                <w:rFonts w:ascii="Times New Roman" w:hAnsi="Times New Roman"/>
                <w:b/>
                <w:color w:val="000000"/>
                <w:szCs w:val="24"/>
                <w:lang w:eastAsia="es-ES"/>
              </w:rPr>
              <w:t>Paradigmas mentales y culturales</w:t>
            </w:r>
          </w:p>
          <w:p w:rsidR="00302FC2" w:rsidRPr="001245EA" w:rsidRDefault="00302FC2" w:rsidP="001245EA">
            <w:pPr>
              <w:pStyle w:val="NormalWeb"/>
              <w:spacing w:before="0" w:beforeAutospacing="0" w:after="210" w:afterAutospacing="0"/>
              <w:jc w:val="both"/>
              <w:rPr>
                <w:rFonts w:ascii="Times New Roman" w:hAnsi="Times New Roman"/>
                <w:sz w:val="22"/>
                <w:szCs w:val="22"/>
                <w:highlight w:val="green"/>
                <w:lang w:val="es-CO"/>
              </w:rPr>
            </w:pPr>
          </w:p>
        </w:tc>
        <w:tc>
          <w:tcPr>
            <w:tcW w:w="6323" w:type="dxa"/>
          </w:tcPr>
          <w:p w:rsidR="00487E42" w:rsidRDefault="00487E42" w:rsidP="001245EA">
            <w:pPr>
              <w:rPr>
                <w:rFonts w:ascii="Times New Roman" w:hAnsi="Times New Roman" w:cs="Times New Roman"/>
              </w:rPr>
            </w:pPr>
          </w:p>
          <w:p w:rsidR="007B5E32" w:rsidRDefault="007B5E32" w:rsidP="001245EA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1FC0601" wp14:editId="718D5A94">
                  <wp:extent cx="3212123" cy="2210669"/>
                  <wp:effectExtent l="0" t="0" r="762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485" cy="223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E32" w:rsidRPr="00B276F8" w:rsidRDefault="007B5E32" w:rsidP="001245EA">
            <w:pPr>
              <w:rPr>
                <w:rFonts w:ascii="Times New Roman" w:hAnsi="Times New Roman" w:cs="Times New Roman"/>
                <w:b/>
                <w:bCs/>
                <w:lang w:val="es-419"/>
              </w:rPr>
            </w:pPr>
            <w:r w:rsidRPr="00B276F8">
              <w:rPr>
                <w:rFonts w:ascii="Times New Roman" w:hAnsi="Times New Roman" w:cs="Times New Roman"/>
                <w:b/>
                <w:bCs/>
              </w:rPr>
              <w:t xml:space="preserve">Figura 1. </w:t>
            </w:r>
            <w:r w:rsidRPr="00B276F8">
              <w:rPr>
                <w:rFonts w:ascii="Times New Roman" w:hAnsi="Times New Roman" w:cs="Times New Roman"/>
                <w:b/>
                <w:bCs/>
                <w:lang w:val="es-419"/>
              </w:rPr>
              <w:t>Ejemplos modelos mentales y cambio Organizacional</w:t>
            </w:r>
          </w:p>
          <w:p w:rsidR="007B5E32" w:rsidRPr="00B276F8" w:rsidRDefault="007B5E32" w:rsidP="001245E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76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419"/>
              </w:rPr>
              <w:lastRenderedPageBreak/>
              <w:t xml:space="preserve">Fuente: elaboración propia, modificado de Senge et. al </w:t>
            </w:r>
            <w:r w:rsidRPr="00B276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419"/>
              </w:rPr>
              <w:fldChar w:fldCharType="begin" w:fldLock="1"/>
            </w:r>
            <w:r w:rsidRPr="00B276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419"/>
              </w:rPr>
              <w:instrText>ADDIN CSL_CITATION {"citationItems":[{"id":"ITEM-1","itemData":{"author":[{"dropping-particle":"","family":"Senge","given":"P","non-dropping-particle":"","parse-names":false,"suffix":""},{"dropping-particle":"","family":"Roberts","given":"C","non-dropping-particle":"","parse-names":false,"suffix":""},{"dropping-particle":"","family":"Ross","given":"R","non-dropping-particle":"","parse-names":false,"suffix":""},{"dropping-particle":"","family":"Smith","given":"B","non-dropping-particle":"","parse-names":false,"suffix":""},{"dropping-particle":"","family":"Kleiner","given":"A","non-dropping-particle":"","parse-names":false,"suffix":""}],"id":"ITEM-1","issued":{"date-parts":[["2012"]]},"publisher":"Granica","publisher-place":"Buenos Aires","title":"La Quinta Disciplina en la Práctica: Estrategias y Herramientas para Construir la Organización Abierta al Aprendizaje","type":"book"},"suppress-author":1,"uris":["http://www.mendeley.com/documents/?uuid=e2e14295-56ff-4ff0-899e-4c575a5d5059"]},{"id":"ITEM-2","itemData":{"author":[{"dropping-particle":"","family":"Senge","given":"P","non-dropping-particle":"","parse-names":false,"suffix":""},{"dropping-particle":"","family":"Kleiner","given":"A","non-dropping-particle":"","parse-names":false,"suffix":""},{"dropping-particle":"","family":"Roberts","given":"C","non-dropping-particle":"","parse-names":false,"suffix":""},{"dropping-particle":"","family":"Ross","given":"R","non-dropping-particle":"","parse-names":false,"suffix":""},{"dropping-particle":"","family":"Roth","given":"G","non-dropping-particle":"","parse-names":false,"suffix":""},{"dropping-particle":"","family":"Smith","given":"B","non-dropping-particle":"","parse-names":false,"suffix":""}],"id":"ITEM-2","issued":{"date-parts":[["2000"]]},"publisher":"Norma","publisher-place":"Bogotá","title":"La Danza del Cambio","type":"book"},"suppress-author":1,"uris":["http://www.mendeley.com/documents/?uuid=2f25157f-6207-4cac-8de6-2135f7434ebf"]}],"mendeley":{"formattedCitation":"(2000, 2012)","plainTextFormattedCitation":"(2000, 2012)","previouslyFormattedCitation":"(2000, 2012)"},"properties":{"noteIndex":0},"schema":"https://github.com/citation-style-language/schema/raw/master/csl-citation.json"}</w:instrText>
            </w:r>
            <w:r w:rsidRPr="00B276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419"/>
              </w:rPr>
              <w:fldChar w:fldCharType="separate"/>
            </w:r>
            <w:r w:rsidRPr="00B276F8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es-419"/>
              </w:rPr>
              <w:t>(2000, 2012)</w:t>
            </w:r>
            <w:r w:rsidRPr="00B276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969" w:type="dxa"/>
          </w:tcPr>
          <w:p w:rsidR="007B5E32" w:rsidRDefault="007B5E32" w:rsidP="007B5E32">
            <w:pPr>
              <w:rPr>
                <w:rFonts w:ascii="Times New Roman" w:hAnsi="Times New Roman"/>
                <w:color w:val="000000"/>
                <w:szCs w:val="24"/>
              </w:rPr>
            </w:pPr>
            <w:r w:rsidRPr="00006B0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Las barreras defensivas, como pate de la cultura organizacional, se alimentan de </w:t>
            </w:r>
            <w:r w:rsidRPr="0002166D">
              <w:rPr>
                <w:rFonts w:ascii="Times New Roman" w:hAnsi="Times New Roman"/>
                <w:iCs/>
                <w:color w:val="000000"/>
                <w:szCs w:val="24"/>
              </w:rPr>
              <w:t>modelos o paradigmas mentales</w:t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t xml:space="preserve">, los cuales son entendidos como un conjunto de creencias y valores anclados a nuestro pensamiento que definen nuestros comportamientos y, además, pueden obstaculizar cualquier cambio </w:t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fldChar w:fldCharType="begin" w:fldLock="1"/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instrText>ADDIN CSL_CITATION {"citationItems":[{"id":"ITEM-1","itemData":{"author":[{"dropping-particle":"","family":"Senge","given":"P","non-dropping-particle":"","parse-names":false,"suffix":""},{"dropping-particle":"","family":"Roberts","given":"C","non-dropping-particle":"","parse-names":false,"suffix":""},{"dropping-particle":"","family":"Ross","given":"R","non-dropping-particle":"","parse-names":false,"suffix":""},{"dropping-particle":"","family":"Smith","given":"B","non-dropping-particle":"","parse-names":false,"suffix":""},{"dropping-particle":"","family":"Kleiner","given":"A","non-dropping-particle":"","parse-names":false,"suffix":""}],"id":"ITEM-1","issued":{"date-parts":[["2012"]]},"publisher":"Granica","publisher-place":"Buenos Aires","title":"La Quinta Disciplina en la Práctica: Estrategias y Herramientas para Construir la Organización Abierta al Aprendizaje","type":"book"},"uris":["http://www.mendeley.com/documents/?uuid=e2e14295-56ff-4ff0-899e-4c575a5d5059"]}],"mendeley":{"formattedCitation":"(Senge, Roberts, Ross, Smith, &amp; Kleiner, 2012)","plainTextFormattedCitation":"(Senge, Roberts, Ross, Smith, &amp; Kleiner, 2012)","previouslyFormattedCitation":"(Senge, Roberts, Ross, Smith, &amp; Kleiner, 2012)"},"properties":{"noteIndex":0},"schema":"https://github.com/citation-style-language/schema/raw/master/csl-citation.json"}</w:instrText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Pr="00006B0D">
              <w:rPr>
                <w:rFonts w:ascii="Times New Roman" w:hAnsi="Times New Roman"/>
                <w:noProof/>
                <w:color w:val="000000"/>
                <w:szCs w:val="24"/>
              </w:rPr>
              <w:t>(Senge, Roberts, Ross, Smith, &amp; Kleiner, 2012)</w:t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t xml:space="preserve">. Se les llama </w:t>
            </w:r>
            <w:r w:rsidRPr="00524CF1">
              <w:rPr>
                <w:rFonts w:ascii="Times New Roman" w:hAnsi="Times New Roman"/>
                <w:iCs/>
                <w:color w:val="000000"/>
                <w:szCs w:val="24"/>
              </w:rPr>
              <w:t>mentales</w:t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t xml:space="preserve"> cuando son individuales, más relacionados con la experiencia subjetiva, y </w:t>
            </w:r>
            <w:r w:rsidRPr="00524CF1">
              <w:rPr>
                <w:rFonts w:ascii="Times New Roman" w:hAnsi="Times New Roman"/>
                <w:iCs/>
                <w:color w:val="000000"/>
                <w:szCs w:val="24"/>
              </w:rPr>
              <w:t>culturales</w:t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t xml:space="preserve"> cuando son compartidos o recogidos de la experiencia con otros </w:t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fldChar w:fldCharType="begin" w:fldLock="1"/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instrText>ADDIN CSL_CITATION {"citationItems":[{"id":"ITEM-1","itemData":{"abstract":"Neyla Graciela Pardo Abril1 Instituto de Estudios en Comunicación y cultura – IECO Departamento de Lingüística Universidad Nacional de Colombia RESUMEN La ideología, las Representaciones Sociales (RS) y los modelos culturales son formas de conocimiento individual y colectivo procedentes de distintos niveles de abstracción del significado, cuya fuente primera son los modelos mentales","author":[{"dropping-particle":"","family":"Pardo-Abril","given":"Neyla Graciela","non-dropping-particle":"","parse-names":false,"suffix":""}],"id":"ITEM-1","issued":{"date-parts":[["2005"]]},"number-of-pages":"1-7","publisher":"Universidad Nacional de Colombia","publisher-place":"Bogotá","title":"Ideología, representaciones sociales, modelos culturales y modelos mentales","type":"report"},"uris":["http://www.mendeley.com/documents/?uuid=14f61fac-6b49-415c-a9f4-cb26f5a3cdaf"]}],"mendeley":{"formattedCitation":"(Pardo-Abril, 2005)","plainTextFormattedCitation":"(Pardo-Abril, 2005)","previouslyFormattedCitation":"(Pardo-Abril, 2005)"},"properties":{"noteIndex":0},"schema":"https://github.com/citation-style-language/schema/raw/master/csl-citation.json"}</w:instrText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Pr="00006B0D">
              <w:rPr>
                <w:rFonts w:ascii="Times New Roman" w:hAnsi="Times New Roman"/>
                <w:noProof/>
                <w:color w:val="000000"/>
                <w:szCs w:val="24"/>
              </w:rPr>
              <w:t>(Pardo-Abril, 2005)</w:t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Pr="00006B0D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302FC2" w:rsidRPr="007B5E32" w:rsidRDefault="00302FC2" w:rsidP="001245EA">
            <w:pPr>
              <w:rPr>
                <w:rFonts w:ascii="Times New Roman" w:hAnsi="Times New Roman" w:cs="Times New Roman"/>
              </w:rPr>
            </w:pPr>
          </w:p>
        </w:tc>
      </w:tr>
      <w:tr w:rsidR="00EA7393" w:rsidRPr="001245EA" w:rsidTr="001245EA">
        <w:tc>
          <w:tcPr>
            <w:tcW w:w="1422" w:type="dxa"/>
          </w:tcPr>
          <w:p w:rsidR="001912BD" w:rsidRPr="001245EA" w:rsidRDefault="00546EB1" w:rsidP="001245EA">
            <w:pPr>
              <w:rPr>
                <w:rFonts w:ascii="Times New Roman" w:hAnsi="Times New Roman" w:cs="Times New Roman"/>
              </w:rPr>
            </w:pPr>
            <w:r w:rsidRPr="00124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9" w:type="dxa"/>
          </w:tcPr>
          <w:p w:rsidR="001912BD" w:rsidRPr="001245EA" w:rsidRDefault="00B276F8" w:rsidP="001245EA">
            <w:pPr>
              <w:pStyle w:val="NormalWeb"/>
              <w:spacing w:before="0" w:beforeAutospacing="0" w:after="210" w:afterAutospacing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Implicaciones </w:t>
            </w:r>
          </w:p>
        </w:tc>
        <w:tc>
          <w:tcPr>
            <w:tcW w:w="6323" w:type="dxa"/>
          </w:tcPr>
          <w:p w:rsidR="00487E42" w:rsidRPr="001245EA" w:rsidRDefault="002911A7" w:rsidP="00487E42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343150" cy="2343150"/>
                  <wp:effectExtent l="0" t="0" r="0" b="0"/>
                  <wp:docPr id="8" name="Imagen 8" descr="Líder empresarial líder en el camino a sus colegas vector gratu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íder empresarial líder en el camino a sus colegas vector gratu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r:id="rId9" w:anchor="page=1&amp;query=liderazgo&amp;position=16" w:history="1">
              <w:r>
                <w:rPr>
                  <w:rStyle w:val="Hipervnculo"/>
                </w:rPr>
                <w:t>https://www.freepik.es/vector-gratis/lider-empresarial-lider-camino-sus-colegas_1311605.htm#page=1&amp;query=liderazgo&amp;position=16</w:t>
              </w:r>
            </w:hyperlink>
          </w:p>
        </w:tc>
        <w:tc>
          <w:tcPr>
            <w:tcW w:w="3969" w:type="dxa"/>
          </w:tcPr>
          <w:p w:rsidR="007B5E32" w:rsidRPr="00006B0D" w:rsidRDefault="007B5E32" w:rsidP="007B5E32">
            <w:pPr>
              <w:pStyle w:val="Piedepgina"/>
              <w:tabs>
                <w:tab w:val="left" w:pos="854"/>
                <w:tab w:val="left" w:pos="13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</w:pP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 xml:space="preserve">Los modelos mentales se mantienen en las personas porque se convierten en parte del repertorio profesional al explicar el funcionamiento de la organización </w:t>
            </w: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fldChar w:fldCharType="begin" w:fldLock="1"/>
            </w: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instrText>ADDIN CSL_CITATION {"citationItems":[{"id":"ITEM-1","itemData":{"author":[{"dropping-particle":"","family":"Senge","given":"P","non-dropping-particle":"","parse-names":false,"suffix":""},{"dropping-particle":"","family":"Kleiner","given":"A","non-dropping-particle":"","parse-names":false,"suffix":""},{"dropping-particle":"","family":"Roberts","given":"C","non-dropping-particle":"","parse-names":false,"suffix":""},{"dropping-particle":"","family":"Ross","given":"R","non-dropping-particle":"","parse-names":false,"suffix":""},{"dropping-particle":"","family":"Roth","given":"G","non-dropping-particle":"","parse-names":false,"suffix":""},{"dropping-particle":"","family":"Smith","given":"B","non-dropping-particle":"","parse-names":false,"suffix":""}],"id":"ITEM-1","issued":{"date-parts":[["2000"]]},"publisher":"Norma","publisher-place":"Bogotá","title":"La Danza del Cambio","type":"book"},"uris":["http://www.mendeley.com/documents/?uuid=2f25157f-6207-4cac-8de6-2135f7434ebf"]}],"mendeley":{"formattedCitation":"(Senge et al., 2000)","plainTextFormattedCitation":"(Senge et al., 2000)","previouslyFormattedCitation":"(Senge et al., 2000)"},"properties":{"noteIndex":0},"schema":"https://github.com/citation-style-language/schema/raw/master/csl-citation.json"}</w:instrText>
            </w: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fldChar w:fldCharType="separate"/>
            </w: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>(Senge et al., 2000)</w:t>
            </w: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fldChar w:fldCharType="end"/>
            </w: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>. Los cambios de paradigmas implican una ardua tarea para el líder, pero desmontar una conducta o una creencia en la organización es una gestión de cambio que bien vale la pena realizar para lograr procesos más competitivos y relaciones laborales más negociadas y armónicas.</w:t>
            </w:r>
          </w:p>
          <w:p w:rsidR="001912BD" w:rsidRPr="007B5E32" w:rsidRDefault="001912BD" w:rsidP="007B5E32">
            <w:pPr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EA7393" w:rsidRPr="001245EA" w:rsidTr="001245EA">
        <w:tc>
          <w:tcPr>
            <w:tcW w:w="1422" w:type="dxa"/>
          </w:tcPr>
          <w:p w:rsidR="001912BD" w:rsidRPr="001245EA" w:rsidRDefault="00546EB1" w:rsidP="001245EA">
            <w:pPr>
              <w:rPr>
                <w:rFonts w:ascii="Times New Roman" w:hAnsi="Times New Roman" w:cs="Times New Roman"/>
              </w:rPr>
            </w:pPr>
            <w:r w:rsidRPr="00124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9" w:type="dxa"/>
          </w:tcPr>
          <w:p w:rsidR="001912BD" w:rsidRPr="00B276F8" w:rsidRDefault="00A64DF3" w:rsidP="001245E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B276F8">
              <w:rPr>
                <w:rFonts w:ascii="Times New Roman" w:hAnsi="Times New Roman" w:cs="Times New Roman"/>
                <w:b/>
                <w:bCs/>
              </w:rPr>
              <w:t>¿Cuáles son las tareas del líder en este ámbito?</w:t>
            </w:r>
          </w:p>
        </w:tc>
        <w:tc>
          <w:tcPr>
            <w:tcW w:w="6323" w:type="dxa"/>
          </w:tcPr>
          <w:p w:rsidR="00EA7393" w:rsidRPr="001245EA" w:rsidRDefault="00EA7393" w:rsidP="001245EA">
            <w:pPr>
              <w:rPr>
                <w:rFonts w:ascii="Times New Roman" w:hAnsi="Times New Roman" w:cs="Times New Roman"/>
              </w:rPr>
            </w:pPr>
          </w:p>
          <w:p w:rsidR="00EA7393" w:rsidRDefault="002911A7" w:rsidP="00B276F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2190750" cy="2190750"/>
                  <wp:effectExtent l="0" t="0" r="0" b="0"/>
                  <wp:docPr id="9" name="Imagen 9" descr="Fondo flat de liderazgo vector gratu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ndo flat de liderazgo vector gratu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1A7" w:rsidRPr="001245EA" w:rsidRDefault="00E04875" w:rsidP="00B276F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hyperlink r:id="rId11" w:anchor="page=1&amp;query=liderazgo&amp;position=24" w:history="1">
              <w:r w:rsidR="002911A7">
                <w:rPr>
                  <w:rStyle w:val="Hipervnculo"/>
                </w:rPr>
                <w:t>https://www.freepik.es/vector-gratis/fondo-flat-liderazgo_3198036.htm#page=1&amp;query=liderazgo&amp;position=24</w:t>
              </w:r>
            </w:hyperlink>
          </w:p>
        </w:tc>
        <w:tc>
          <w:tcPr>
            <w:tcW w:w="3969" w:type="dxa"/>
          </w:tcPr>
          <w:p w:rsidR="00A64DF3" w:rsidRDefault="00A64DF3" w:rsidP="00A64DF3">
            <w:pPr>
              <w:pStyle w:val="Piedepgina"/>
              <w:tabs>
                <w:tab w:val="left" w:pos="854"/>
                <w:tab w:val="left" w:pos="13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</w:pP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lastRenderedPageBreak/>
              <w:t xml:space="preserve">a) </w:t>
            </w:r>
            <w:r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>C</w:t>
            </w: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>rear un escenario que permita a los trabajadores alcanzar un proceso de introspección, identificando anticipadamente cuáles pueden ser esos paradigmas, en especial aquellos que se comparten y se convierten en modelos culturales</w:t>
            </w:r>
            <w:r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>.</w:t>
            </w:r>
          </w:p>
          <w:p w:rsidR="00A64DF3" w:rsidRDefault="00A64DF3" w:rsidP="00A64DF3">
            <w:pPr>
              <w:pStyle w:val="Piedepgina"/>
              <w:tabs>
                <w:tab w:val="left" w:pos="854"/>
                <w:tab w:val="left" w:pos="13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</w:pP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 xml:space="preserve"> b) </w:t>
            </w:r>
            <w:r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>E</w:t>
            </w: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>stablecer nuevas experiencias organizacionales que se opongan a dichos modelos mentales y permitan replantearlos.</w:t>
            </w:r>
          </w:p>
          <w:p w:rsidR="00A64DF3" w:rsidRPr="00006B0D" w:rsidRDefault="00A64DF3" w:rsidP="00A64DF3">
            <w:pPr>
              <w:pStyle w:val="Piedepgina"/>
              <w:tabs>
                <w:tab w:val="left" w:pos="854"/>
                <w:tab w:val="left" w:pos="13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</w:pP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 xml:space="preserve">Tanto en la primera como en la segunda tarea, el líder de la alta gerencia cuenta </w:t>
            </w:r>
            <w:r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lastRenderedPageBreak/>
              <w:t xml:space="preserve">con una competencia transversal: sabe retroalimentar a sus colaboradores. </w:t>
            </w:r>
          </w:p>
          <w:p w:rsidR="001912BD" w:rsidRPr="00A64DF3" w:rsidRDefault="001912BD" w:rsidP="00A64DF3">
            <w:pPr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EA7393" w:rsidRPr="001245EA" w:rsidTr="001245EA">
        <w:tc>
          <w:tcPr>
            <w:tcW w:w="1422" w:type="dxa"/>
          </w:tcPr>
          <w:p w:rsidR="001912BD" w:rsidRPr="001245EA" w:rsidRDefault="00546EB1" w:rsidP="001245EA">
            <w:pPr>
              <w:rPr>
                <w:rFonts w:ascii="Times New Roman" w:hAnsi="Times New Roman" w:cs="Times New Roman"/>
              </w:rPr>
            </w:pPr>
            <w:r w:rsidRPr="001245E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89" w:type="dxa"/>
          </w:tcPr>
          <w:p w:rsidR="001912BD" w:rsidRPr="00787AD4" w:rsidRDefault="00C902C2" w:rsidP="001245EA">
            <w:pPr>
              <w:rPr>
                <w:rFonts w:ascii="Times New Roman" w:hAnsi="Times New Roman" w:cs="Times New Roman"/>
                <w:b/>
                <w:bCs/>
              </w:rPr>
            </w:pPr>
            <w:r w:rsidRPr="00787AD4">
              <w:rPr>
                <w:rFonts w:ascii="Times New Roman" w:hAnsi="Times New Roman" w:cs="Times New Roman"/>
                <w:b/>
                <w:bCs/>
                <w:lang w:val="es-419"/>
              </w:rPr>
              <w:t>Estrategias de gestión de modelos mentales</w:t>
            </w:r>
          </w:p>
        </w:tc>
        <w:tc>
          <w:tcPr>
            <w:tcW w:w="6323" w:type="dxa"/>
          </w:tcPr>
          <w:p w:rsidR="00701C78" w:rsidRPr="001245EA" w:rsidRDefault="00701C78" w:rsidP="001245E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01C78" w:rsidRDefault="00A64DF3" w:rsidP="001245EA">
            <w:pPr>
              <w:rPr>
                <w:rFonts w:ascii="Times New Roman" w:hAnsi="Times New Roman" w:cs="Times New Roman"/>
                <w:b/>
                <w:bCs/>
              </w:rPr>
            </w:pPr>
            <w:r w:rsidRPr="00A64DF3">
              <w:rPr>
                <w:rFonts w:ascii="Times New Roman" w:hAnsi="Times New Roman" w:cs="Times New Roman"/>
                <w:b/>
                <w:bCs/>
                <w:highlight w:val="green"/>
              </w:rPr>
              <w:t>General un botón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64DF3" w:rsidRDefault="00A64DF3" w:rsidP="001245E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64DF3" w:rsidRDefault="00A64DF3" w:rsidP="00A64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 tabla</w:t>
            </w:r>
          </w:p>
          <w:p w:rsidR="00A64DF3" w:rsidRDefault="00A64DF3" w:rsidP="00A64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64DF3" w:rsidRPr="001245EA" w:rsidRDefault="00A64DF3" w:rsidP="00A64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4DF3">
              <w:rPr>
                <w:rFonts w:ascii="Times New Roman" w:hAnsi="Times New Roman" w:cs="Times New Roman"/>
                <w:b/>
                <w:bCs/>
                <w:highlight w:val="green"/>
              </w:rPr>
              <w:t>Al hacer clic se desprende en un cuadro la tabla que se encuentra al final del guion como anexo 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25251" w:rsidRDefault="00725251" w:rsidP="00F80957">
            <w:pPr>
              <w:rPr>
                <w:noProof/>
              </w:rPr>
            </w:pPr>
          </w:p>
          <w:p w:rsidR="00701C78" w:rsidRPr="001245EA" w:rsidRDefault="00701C78" w:rsidP="00725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64DF3" w:rsidRDefault="00A64DF3" w:rsidP="00C902C2">
            <w:pPr>
              <w:rPr>
                <w:rFonts w:ascii="Times New Roman" w:hAnsi="Times New Roman" w:cs="Times New Roman"/>
                <w:b/>
                <w:lang w:eastAsia="es-ES"/>
              </w:rPr>
            </w:pPr>
          </w:p>
          <w:p w:rsidR="00A64DF3" w:rsidRPr="00E65E64" w:rsidRDefault="00914EDB" w:rsidP="00C902C2">
            <w:pPr>
              <w:pStyle w:val="Piedepgina"/>
              <w:tabs>
                <w:tab w:val="left" w:pos="854"/>
                <w:tab w:val="left" w:pos="13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</w:pPr>
            <w:r w:rsidRPr="001245EA">
              <w:rPr>
                <w:rFonts w:ascii="Times New Roman" w:hAnsi="Times New Roman" w:cs="Times New Roman"/>
              </w:rPr>
              <w:t xml:space="preserve"> </w:t>
            </w:r>
            <w:r w:rsidR="00A64DF3"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>En</w:t>
            </w:r>
            <w:r w:rsidR="00A64DF3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 xml:space="preserve"> la tabla aquí relacionada</w:t>
            </w:r>
            <w:r w:rsidR="00A64DF3"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>, se presentan algunas de las soluciones que pueden manejarse para gestionar modelos mentales comunes que se presentan dentro de la organización y en el proceso de gestión de cambio. Dado que es natural que se generen situaciones conflictivas con los colaboradores, es</w:t>
            </w:r>
            <w:r w:rsidR="00A64DF3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 xml:space="preserve"> </w:t>
            </w:r>
            <w:r w:rsidR="00A64DF3" w:rsidRPr="00006B0D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 xml:space="preserve">importante que el líder aplique las siguientes estrategias de solución. </w:t>
            </w:r>
            <w:r w:rsidR="00A64DF3" w:rsidRPr="00006B0D" w:rsidDel="00201848">
              <w:rPr>
                <w:rFonts w:ascii="Times New Roman" w:eastAsia="Times New Roman" w:hAnsi="Times New Roman" w:cs="Times New Roman"/>
                <w:color w:val="000000"/>
                <w:lang w:val="es-419" w:eastAsia="es-CO"/>
              </w:rPr>
              <w:t xml:space="preserve"> </w:t>
            </w:r>
          </w:p>
          <w:p w:rsidR="00A64DF3" w:rsidRPr="00A64DF3" w:rsidRDefault="00A64DF3" w:rsidP="00C902C2">
            <w:pPr>
              <w:rPr>
                <w:rFonts w:ascii="Times New Roman" w:hAnsi="Times New Roman" w:cs="Times New Roman"/>
                <w:lang w:val="es-419" w:eastAsia="es-ES"/>
              </w:rPr>
            </w:pPr>
          </w:p>
          <w:p w:rsidR="001912BD" w:rsidRPr="001245EA" w:rsidRDefault="001912BD" w:rsidP="00C902C2">
            <w:pPr>
              <w:rPr>
                <w:rFonts w:ascii="Times New Roman" w:hAnsi="Times New Roman" w:cs="Times New Roman"/>
                <w:lang w:eastAsia="es-ES"/>
              </w:rPr>
            </w:pPr>
          </w:p>
        </w:tc>
      </w:tr>
    </w:tbl>
    <w:p w:rsidR="00A648F3" w:rsidRDefault="00A648F3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</w:p>
    <w:p w:rsidR="00725251" w:rsidRDefault="00725251" w:rsidP="001245EA">
      <w:pPr>
        <w:spacing w:line="360" w:lineRule="auto"/>
        <w:rPr>
          <w:rFonts w:ascii="Times New Roman" w:hAnsi="Times New Roman"/>
          <w:szCs w:val="24"/>
        </w:rPr>
      </w:pPr>
      <w:r w:rsidRPr="00724886">
        <w:rPr>
          <w:rFonts w:ascii="Times New Roman" w:hAnsi="Times New Roman"/>
          <w:szCs w:val="24"/>
          <w:highlight w:val="green"/>
        </w:rPr>
        <w:t>Anexo 1:</w:t>
      </w:r>
      <w:r>
        <w:rPr>
          <w:rFonts w:ascii="Times New Roman" w:hAnsi="Times New Roman"/>
          <w:szCs w:val="24"/>
        </w:rPr>
        <w:t xml:space="preserve"> </w:t>
      </w:r>
    </w:p>
    <w:p w:rsidR="00725251" w:rsidRPr="008C0973" w:rsidRDefault="00725251" w:rsidP="001245EA">
      <w:pPr>
        <w:spacing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C0973">
        <w:rPr>
          <w:rFonts w:ascii="Times New Roman" w:hAnsi="Times New Roman"/>
          <w:b/>
          <w:bCs/>
          <w:szCs w:val="24"/>
        </w:rPr>
        <w:t xml:space="preserve">Tabla 1. </w:t>
      </w:r>
      <w:r w:rsidR="008C0973" w:rsidRPr="008C0973">
        <w:rPr>
          <w:rFonts w:ascii="Times New Roman" w:hAnsi="Times New Roman" w:cs="Times New Roman"/>
          <w:b/>
          <w:bCs/>
          <w:lang w:val="es-419"/>
        </w:rPr>
        <w:t>Estrategias de gestión de modelos mentales</w:t>
      </w:r>
    </w:p>
    <w:p w:rsidR="008C0973" w:rsidRDefault="00725251" w:rsidP="001245EA">
      <w:pPr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117752" cy="4407134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0" r="27169" b="2916"/>
                    <a:stretch/>
                  </pic:blipFill>
                  <pic:spPr bwMode="auto">
                    <a:xfrm>
                      <a:off x="0" y="0"/>
                      <a:ext cx="3129878" cy="44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02C2" w:rsidRPr="00C902C2" w:rsidRDefault="008C0973" w:rsidP="00C902C2">
      <w:pPr>
        <w:pStyle w:val="Piedepgina"/>
        <w:spacing w:line="360" w:lineRule="auto"/>
        <w:rPr>
          <w:rFonts w:ascii="Times New Roman" w:hAnsi="Times New Roman" w:cs="Times New Roman"/>
          <w:i/>
          <w:iCs/>
          <w:sz w:val="20"/>
          <w:szCs w:val="20"/>
          <w:lang w:val="es-419"/>
        </w:rPr>
      </w:pPr>
      <w:r w:rsidRPr="00C902C2">
        <w:rPr>
          <w:rFonts w:ascii="Times New Roman" w:hAnsi="Times New Roman"/>
          <w:i/>
          <w:iCs/>
          <w:sz w:val="20"/>
          <w:szCs w:val="20"/>
        </w:rPr>
        <w:t>Fuente: elaboración propia</w:t>
      </w:r>
      <w:r w:rsidR="00C902C2" w:rsidRPr="00C902C2">
        <w:rPr>
          <w:rFonts w:ascii="Times New Roman" w:hAnsi="Times New Roman"/>
          <w:i/>
          <w:iCs/>
          <w:sz w:val="20"/>
          <w:szCs w:val="20"/>
        </w:rPr>
        <w:t xml:space="preserve">, modificado de </w:t>
      </w:r>
      <w:r w:rsidR="00C902C2" w:rsidRPr="00C902C2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Senge et al. </w:t>
      </w:r>
      <w:r w:rsidR="00C902C2" w:rsidRPr="00C902C2">
        <w:rPr>
          <w:rFonts w:ascii="Times New Roman" w:hAnsi="Times New Roman" w:cs="Times New Roman"/>
          <w:i/>
          <w:iCs/>
          <w:sz w:val="20"/>
          <w:szCs w:val="20"/>
          <w:lang w:val="es-419"/>
        </w:rPr>
        <w:fldChar w:fldCharType="begin" w:fldLock="1"/>
      </w:r>
      <w:r w:rsidR="00C902C2" w:rsidRPr="00C902C2">
        <w:rPr>
          <w:rFonts w:ascii="Times New Roman" w:hAnsi="Times New Roman" w:cs="Times New Roman"/>
          <w:i/>
          <w:iCs/>
          <w:sz w:val="20"/>
          <w:szCs w:val="20"/>
          <w:lang w:val="es-419"/>
        </w:rPr>
        <w:instrText>ADDIN CSL_CITATION {"citationItems":[{"id":"ITEM-1","itemData":{"author":[{"dropping-particle":"","family":"Senge","given":"P","non-dropping-particle":"","parse-names":false,"suffix":""},{"dropping-particle":"","family":"Kleiner","given":"A","non-dropping-particle":"","parse-names":false,"suffix":""},{"dropping-particle":"","family":"Roberts","given":"C","non-dropping-particle":"","parse-names":false,"suffix":""},{"dropping-particle":"","family":"Ross","given":"R","non-dropping-particle":"","parse-names":false,"suffix":""},{"dropping-particle":"","family":"Roth","given":"G","non-dropping-particle":"","parse-names":false,"suffix":""},{"dropping-particle":"","family":"Smith","given":"B","non-dropping-particle":"","parse-names":false,"suffix":""}],"id":"ITEM-1","issued":{"date-parts":[["2000"]]},"publisher":"Norma","publisher-place":"Bogotá","title":"La Danza del Cambio","type":"book"},"suppress-author":1,"uris":["http://www.mendeley.com/documents/?uuid=2f25157f-6207-4cac-8de6-2135f7434ebf"]}],"mendeley":{"formattedCitation":"(2000)","plainTextFormattedCitation":"(2000)","previouslyFormattedCitation":"(2000)"},"properties":{"noteIndex":0},"schema":"https://github.com/citation-style-language/schema/raw/master/csl-citation.json"}</w:instrText>
      </w:r>
      <w:r w:rsidR="00C902C2" w:rsidRPr="00C902C2">
        <w:rPr>
          <w:rFonts w:ascii="Times New Roman" w:hAnsi="Times New Roman" w:cs="Times New Roman"/>
          <w:i/>
          <w:iCs/>
          <w:sz w:val="20"/>
          <w:szCs w:val="20"/>
          <w:lang w:val="es-419"/>
        </w:rPr>
        <w:fldChar w:fldCharType="separate"/>
      </w:r>
      <w:r w:rsidR="00C902C2" w:rsidRPr="00C902C2">
        <w:rPr>
          <w:rFonts w:ascii="Times New Roman" w:hAnsi="Times New Roman" w:cs="Times New Roman"/>
          <w:i/>
          <w:iCs/>
          <w:noProof/>
          <w:sz w:val="20"/>
          <w:szCs w:val="20"/>
          <w:lang w:val="es-419"/>
        </w:rPr>
        <w:t>(2000)</w:t>
      </w:r>
      <w:r w:rsidR="00C902C2" w:rsidRPr="00C902C2">
        <w:rPr>
          <w:rFonts w:ascii="Times New Roman" w:hAnsi="Times New Roman" w:cs="Times New Roman"/>
          <w:i/>
          <w:iCs/>
          <w:sz w:val="20"/>
          <w:szCs w:val="20"/>
          <w:lang w:val="es-419"/>
        </w:rPr>
        <w:fldChar w:fldCharType="end"/>
      </w:r>
      <w:r w:rsidR="00C902C2" w:rsidRPr="00C902C2">
        <w:rPr>
          <w:rFonts w:ascii="Times New Roman" w:hAnsi="Times New Roman" w:cs="Times New Roman"/>
          <w:i/>
          <w:iCs/>
          <w:sz w:val="20"/>
          <w:szCs w:val="20"/>
          <w:lang w:val="es-419"/>
        </w:rPr>
        <w:t>.</w:t>
      </w:r>
    </w:p>
    <w:p w:rsidR="008C0973" w:rsidRDefault="002911A7" w:rsidP="001245EA">
      <w:pPr>
        <w:spacing w:line="360" w:lineRule="auto"/>
        <w:rPr>
          <w:rFonts w:ascii="Times New Roman" w:hAnsi="Times New Roman"/>
          <w:szCs w:val="24"/>
        </w:rPr>
      </w:pPr>
      <w:r w:rsidRPr="002911A7">
        <w:rPr>
          <w:rFonts w:ascii="Times New Roman" w:hAnsi="Times New Roman"/>
          <w:szCs w:val="24"/>
          <w:highlight w:val="green"/>
        </w:rPr>
        <w:t xml:space="preserve">Se debe rediseñar la tabla, hacerla visualmente más agradable, a </w:t>
      </w:r>
      <w:proofErr w:type="gramStart"/>
      <w:r w:rsidRPr="002911A7">
        <w:rPr>
          <w:rFonts w:ascii="Times New Roman" w:hAnsi="Times New Roman"/>
          <w:szCs w:val="24"/>
          <w:highlight w:val="green"/>
        </w:rPr>
        <w:t>continuación</w:t>
      </w:r>
      <w:proofErr w:type="gramEnd"/>
      <w:r w:rsidRPr="002911A7">
        <w:rPr>
          <w:rFonts w:ascii="Times New Roman" w:hAnsi="Times New Roman"/>
          <w:szCs w:val="24"/>
          <w:highlight w:val="green"/>
        </w:rPr>
        <w:t xml:space="preserve"> los textos editables:</w:t>
      </w:r>
      <w:r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Ind w:w="733" w:type="dxa"/>
        <w:tblLook w:val="04A0" w:firstRow="1" w:lastRow="0" w:firstColumn="1" w:lastColumn="0" w:noHBand="0" w:noVBand="1"/>
      </w:tblPr>
      <w:tblGrid>
        <w:gridCol w:w="2134"/>
        <w:gridCol w:w="3961"/>
      </w:tblGrid>
      <w:tr w:rsidR="008C0973" w:rsidRPr="00006B0D" w:rsidTr="0057343C">
        <w:tc>
          <w:tcPr>
            <w:tcW w:w="2134" w:type="dxa"/>
          </w:tcPr>
          <w:p w:rsidR="008C0973" w:rsidRPr="00006B0D" w:rsidRDefault="008C0973" w:rsidP="0057343C">
            <w:pPr>
              <w:pStyle w:val="Piedepgina"/>
              <w:spacing w:line="36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Modelo mental</w:t>
            </w:r>
          </w:p>
        </w:tc>
        <w:tc>
          <w:tcPr>
            <w:tcW w:w="3961" w:type="dxa"/>
          </w:tcPr>
          <w:p w:rsidR="008C0973" w:rsidRPr="00006B0D" w:rsidRDefault="008C0973" w:rsidP="0057343C">
            <w:pPr>
              <w:pStyle w:val="Piedepgina"/>
              <w:spacing w:line="36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Estrategia</w:t>
            </w:r>
          </w:p>
        </w:tc>
      </w:tr>
      <w:tr w:rsidR="008C0973" w:rsidRPr="00006B0D" w:rsidTr="0057343C">
        <w:tc>
          <w:tcPr>
            <w:tcW w:w="2134" w:type="dxa"/>
            <w:vAlign w:val="center"/>
          </w:tcPr>
          <w:p w:rsidR="008C0973" w:rsidRPr="00006B0D" w:rsidRDefault="008C0973" w:rsidP="0057343C">
            <w:pPr>
              <w:pStyle w:val="Piedepgina"/>
              <w:spacing w:line="360" w:lineRule="auto"/>
              <w:rPr>
                <w:rFonts w:ascii="Times New Roman" w:hAnsi="Times New Roman" w:cs="Times New Roman"/>
                <w:b/>
                <w:lang w:val="es-419"/>
              </w:rPr>
            </w:pPr>
            <w:r w:rsidRPr="00006B0D">
              <w:rPr>
                <w:rFonts w:ascii="Times New Roman" w:hAnsi="Times New Roman" w:cs="Times New Roman"/>
                <w:b/>
                <w:lang w:val="es-419"/>
              </w:rPr>
              <w:lastRenderedPageBreak/>
              <w:t>"No hay tiempo para esto".</w:t>
            </w:r>
          </w:p>
        </w:tc>
        <w:tc>
          <w:tcPr>
            <w:tcW w:w="3961" w:type="dxa"/>
            <w:vAlign w:val="center"/>
          </w:tcPr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Fomentar iniciativas de trabajo colectivo.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Creación de cronogramas concertados para enfocar las prioridades y los tiempos.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Dar autonomía a los trabajadores para que controlen su propio uso del tiempo.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No dar prioridad a demandas no esenciales.</w:t>
            </w:r>
          </w:p>
        </w:tc>
      </w:tr>
      <w:tr w:rsidR="008C0973" w:rsidRPr="00006B0D" w:rsidTr="0057343C">
        <w:tc>
          <w:tcPr>
            <w:tcW w:w="2134" w:type="dxa"/>
            <w:vAlign w:val="center"/>
          </w:tcPr>
          <w:p w:rsidR="008C0973" w:rsidRPr="00006B0D" w:rsidRDefault="008C0973" w:rsidP="0057343C">
            <w:pPr>
              <w:pStyle w:val="Piedepgina"/>
              <w:spacing w:line="360" w:lineRule="auto"/>
              <w:rPr>
                <w:rFonts w:ascii="Times New Roman" w:hAnsi="Times New Roman" w:cs="Times New Roman"/>
                <w:b/>
                <w:lang w:val="es-419"/>
              </w:rPr>
            </w:pPr>
            <w:r w:rsidRPr="00006B0D">
              <w:rPr>
                <w:rFonts w:ascii="Times New Roman" w:hAnsi="Times New Roman" w:cs="Times New Roman"/>
                <w:b/>
                <w:lang w:val="es-419"/>
              </w:rPr>
              <w:t>“Nadie nos ayuda”.</w:t>
            </w:r>
          </w:p>
        </w:tc>
        <w:tc>
          <w:tcPr>
            <w:tcW w:w="3961" w:type="dxa"/>
            <w:vAlign w:val="center"/>
          </w:tcPr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Invertir anticipadamente en ayuda.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Crear oportunidades de entrenamiento directo a los trabajadores para brindarles competencias de autonomía y toma de decisión.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Fomentar actitudes en torno a buscar ayuda con pares y superiores.</w:t>
            </w:r>
          </w:p>
        </w:tc>
      </w:tr>
      <w:tr w:rsidR="008C0973" w:rsidRPr="00006B0D" w:rsidTr="0057343C">
        <w:tc>
          <w:tcPr>
            <w:tcW w:w="2134" w:type="dxa"/>
            <w:vAlign w:val="center"/>
          </w:tcPr>
          <w:p w:rsidR="008C0973" w:rsidRPr="00006B0D" w:rsidRDefault="008C0973" w:rsidP="0057343C">
            <w:pPr>
              <w:pStyle w:val="Piedepgina"/>
              <w:spacing w:line="360" w:lineRule="auto"/>
              <w:rPr>
                <w:rFonts w:ascii="Times New Roman" w:hAnsi="Times New Roman" w:cs="Times New Roman"/>
                <w:b/>
                <w:lang w:val="es-419"/>
              </w:rPr>
            </w:pPr>
            <w:r w:rsidRPr="00006B0D">
              <w:rPr>
                <w:rFonts w:ascii="Times New Roman" w:hAnsi="Times New Roman" w:cs="Times New Roman"/>
                <w:b/>
                <w:lang w:val="es-419"/>
              </w:rPr>
              <w:t>“Esto no es importante”.</w:t>
            </w:r>
          </w:p>
        </w:tc>
        <w:tc>
          <w:tcPr>
            <w:tcW w:w="3961" w:type="dxa"/>
            <w:vAlign w:val="center"/>
          </w:tcPr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Brindar más información a los trabajadores.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lastRenderedPageBreak/>
              <w:t>Mantener la orientación enfocada en la retroalimentación de los resultados.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Responder con precisión los interrogantes en torno a la urgencia e importancia del cambio a implementar.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Fomentar estrategias de creación de consciencia entre los líderes.</w:t>
            </w:r>
          </w:p>
        </w:tc>
      </w:tr>
      <w:tr w:rsidR="008C0973" w:rsidRPr="00006B0D" w:rsidTr="008C0973">
        <w:tc>
          <w:tcPr>
            <w:tcW w:w="2134" w:type="dxa"/>
            <w:vAlign w:val="center"/>
          </w:tcPr>
          <w:p w:rsidR="008C0973" w:rsidRPr="00006B0D" w:rsidRDefault="008C0973" w:rsidP="0057343C">
            <w:pPr>
              <w:pStyle w:val="Piedepgina"/>
              <w:spacing w:line="360" w:lineRule="auto"/>
              <w:rPr>
                <w:rFonts w:ascii="Times New Roman" w:hAnsi="Times New Roman" w:cs="Times New Roman"/>
                <w:b/>
                <w:lang w:val="es-419"/>
              </w:rPr>
            </w:pPr>
            <w:r w:rsidRPr="00006B0D">
              <w:rPr>
                <w:rFonts w:ascii="Times New Roman" w:hAnsi="Times New Roman" w:cs="Times New Roman"/>
                <w:b/>
                <w:lang w:val="es-419"/>
              </w:rPr>
              <w:lastRenderedPageBreak/>
              <w:t>“No está funcionando”.</w:t>
            </w:r>
          </w:p>
        </w:tc>
        <w:tc>
          <w:tcPr>
            <w:tcW w:w="3961" w:type="dxa"/>
            <w:vAlign w:val="center"/>
          </w:tcPr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Retroalimentar en torno a la distancia temporal entre la implementación del cambio y los resultados.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Construir equipo para valorar y mejorar los sistemas de evaluación del cambio.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Aprender a identificar y reconocer el progreso en sus pequeños impactos iniciales.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Convertir la evaluación en un pilar del cambio.</w:t>
            </w:r>
          </w:p>
        </w:tc>
      </w:tr>
      <w:tr w:rsidR="008C0973" w:rsidRPr="00006B0D" w:rsidTr="008C0973">
        <w:tc>
          <w:tcPr>
            <w:tcW w:w="2134" w:type="dxa"/>
            <w:vAlign w:val="center"/>
          </w:tcPr>
          <w:p w:rsidR="008C0973" w:rsidRPr="00006B0D" w:rsidRDefault="008C0973" w:rsidP="0057343C">
            <w:pPr>
              <w:pStyle w:val="Piedepgina"/>
              <w:spacing w:line="360" w:lineRule="auto"/>
              <w:rPr>
                <w:rFonts w:ascii="Times New Roman" w:hAnsi="Times New Roman" w:cs="Times New Roman"/>
                <w:b/>
                <w:lang w:val="es-419"/>
              </w:rPr>
            </w:pPr>
            <w:r w:rsidRPr="00006B0D">
              <w:rPr>
                <w:rFonts w:ascii="Times New Roman" w:hAnsi="Times New Roman" w:cs="Times New Roman"/>
                <w:b/>
                <w:lang w:val="es-419"/>
              </w:rPr>
              <w:lastRenderedPageBreak/>
              <w:t>“No entiendo qué estamos haciendo”.</w:t>
            </w:r>
          </w:p>
        </w:tc>
        <w:tc>
          <w:tcPr>
            <w:tcW w:w="3961" w:type="dxa"/>
            <w:vAlign w:val="center"/>
          </w:tcPr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Brindar información sobre la relación entre las pequeñas tareas y el cambio global.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Cultivar la apertura a la reflexión en torno al cambio y a los comportamientos.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Trabajar en la competencia de compromiso del grupo desde el inicio.</w:t>
            </w:r>
          </w:p>
        </w:tc>
      </w:tr>
      <w:tr w:rsidR="008C0973" w:rsidRPr="00006B0D" w:rsidTr="008C0973">
        <w:tc>
          <w:tcPr>
            <w:tcW w:w="2134" w:type="dxa"/>
            <w:vAlign w:val="center"/>
          </w:tcPr>
          <w:p w:rsidR="008C0973" w:rsidRPr="00006B0D" w:rsidRDefault="008C0973" w:rsidP="0057343C">
            <w:pPr>
              <w:pStyle w:val="Piedepgina"/>
              <w:spacing w:line="360" w:lineRule="auto"/>
              <w:rPr>
                <w:rFonts w:ascii="Times New Roman" w:hAnsi="Times New Roman" w:cs="Times New Roman"/>
                <w:b/>
                <w:lang w:val="es-419"/>
              </w:rPr>
            </w:pPr>
            <w:r w:rsidRPr="00006B0D">
              <w:rPr>
                <w:rFonts w:ascii="Times New Roman" w:hAnsi="Times New Roman" w:cs="Times New Roman"/>
                <w:b/>
                <w:lang w:val="es-419"/>
              </w:rPr>
              <w:t>"Este no es el camino correcto".</w:t>
            </w:r>
          </w:p>
        </w:tc>
        <w:tc>
          <w:tcPr>
            <w:tcW w:w="3961" w:type="dxa"/>
            <w:vAlign w:val="center"/>
          </w:tcPr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Implementar los cambios progresivamente para disminuir la resistencia.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Recordar a los trabajadores que el miedo y la ansiedad son respuestas naturales frente a situaciones de aprendizaje.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Fomentar la participación de los trabajadores e incluirlos en la toma de decisión.</w:t>
            </w:r>
          </w:p>
        </w:tc>
      </w:tr>
      <w:tr w:rsidR="008C0973" w:rsidRPr="00006B0D" w:rsidTr="008C0973">
        <w:tc>
          <w:tcPr>
            <w:tcW w:w="2134" w:type="dxa"/>
            <w:vAlign w:val="center"/>
          </w:tcPr>
          <w:p w:rsidR="008C0973" w:rsidRPr="00006B0D" w:rsidRDefault="008C0973" w:rsidP="0057343C">
            <w:pPr>
              <w:pStyle w:val="Piedepgina"/>
              <w:spacing w:line="360" w:lineRule="auto"/>
              <w:rPr>
                <w:rFonts w:ascii="Times New Roman" w:hAnsi="Times New Roman" w:cs="Times New Roman"/>
                <w:b/>
                <w:lang w:val="es-419"/>
              </w:rPr>
            </w:pPr>
            <w:r w:rsidRPr="00006B0D">
              <w:rPr>
                <w:rFonts w:ascii="Times New Roman" w:hAnsi="Times New Roman" w:cs="Times New Roman"/>
                <w:b/>
                <w:lang w:val="es-419"/>
              </w:rPr>
              <w:lastRenderedPageBreak/>
              <w:t>"Quedó a cargo alguien que no sabe".</w:t>
            </w:r>
          </w:p>
        </w:tc>
        <w:tc>
          <w:tcPr>
            <w:tcW w:w="3961" w:type="dxa"/>
            <w:vAlign w:val="center"/>
          </w:tcPr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Resaltar el impacto de los pequeños cambios en situaciones de elevada complejidad.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Distribuir de forma más equitativa el poder entre los trabajadores.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Socializar resultados positivos favorece la legitimación de quien(es) están a cargo.</w:t>
            </w:r>
          </w:p>
        </w:tc>
      </w:tr>
      <w:tr w:rsidR="008C0973" w:rsidRPr="00006B0D" w:rsidTr="008C0973">
        <w:tc>
          <w:tcPr>
            <w:tcW w:w="2134" w:type="dxa"/>
            <w:vAlign w:val="center"/>
          </w:tcPr>
          <w:p w:rsidR="008C0973" w:rsidRPr="00006B0D" w:rsidRDefault="008C0973" w:rsidP="0057343C">
            <w:pPr>
              <w:pStyle w:val="Piedepgina"/>
              <w:spacing w:line="360" w:lineRule="auto"/>
              <w:rPr>
                <w:rFonts w:ascii="Times New Roman" w:hAnsi="Times New Roman" w:cs="Times New Roman"/>
                <w:b/>
                <w:lang w:val="es-419"/>
              </w:rPr>
            </w:pPr>
            <w:r w:rsidRPr="00006B0D">
              <w:rPr>
                <w:rFonts w:ascii="Times New Roman" w:hAnsi="Times New Roman" w:cs="Times New Roman"/>
                <w:b/>
                <w:lang w:val="es-419"/>
              </w:rPr>
              <w:t>"No estamos haciendo nada nuevo".</w:t>
            </w:r>
          </w:p>
        </w:tc>
        <w:tc>
          <w:tcPr>
            <w:tcW w:w="3961" w:type="dxa"/>
            <w:vAlign w:val="center"/>
          </w:tcPr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Legitimar el papel de los líderes como mensajeros de nuevas ideas y orientadores.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Diseñar medios de difusión de la información más efectivos.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Convertir a los participantes en parte del proceso de planeación de la innovación.</w:t>
            </w:r>
          </w:p>
        </w:tc>
      </w:tr>
      <w:tr w:rsidR="008C0973" w:rsidRPr="00006B0D" w:rsidTr="008C0973">
        <w:tc>
          <w:tcPr>
            <w:tcW w:w="2134" w:type="dxa"/>
            <w:vAlign w:val="center"/>
          </w:tcPr>
          <w:p w:rsidR="008C0973" w:rsidRPr="00006B0D" w:rsidRDefault="008C0973" w:rsidP="0057343C">
            <w:pPr>
              <w:pStyle w:val="Piedepgina"/>
              <w:spacing w:line="360" w:lineRule="auto"/>
              <w:rPr>
                <w:rFonts w:ascii="Times New Roman" w:hAnsi="Times New Roman" w:cs="Times New Roman"/>
                <w:b/>
                <w:lang w:val="es-419"/>
              </w:rPr>
            </w:pPr>
            <w:r w:rsidRPr="00006B0D">
              <w:rPr>
                <w:rFonts w:ascii="Times New Roman" w:hAnsi="Times New Roman" w:cs="Times New Roman"/>
                <w:b/>
                <w:lang w:val="es-419"/>
              </w:rPr>
              <w:t>"Esto no tiene sentido".</w:t>
            </w:r>
          </w:p>
        </w:tc>
        <w:tc>
          <w:tcPr>
            <w:tcW w:w="3961" w:type="dxa"/>
            <w:vAlign w:val="center"/>
          </w:tcPr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Desarrollar el compromiso continuo en torno a la misión y visión de la organización.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 xml:space="preserve">Exponer y probar qué se está asumiendo (nuevos modelos </w:t>
            </w:r>
            <w:r w:rsidRPr="00006B0D">
              <w:rPr>
                <w:rFonts w:ascii="Times New Roman" w:hAnsi="Times New Roman" w:cs="Times New Roman"/>
                <w:lang w:val="es-419"/>
              </w:rPr>
              <w:lastRenderedPageBreak/>
              <w:t>mentales y culturales) en torno a las nuevas prácticas.</w:t>
            </w:r>
          </w:p>
          <w:p w:rsidR="008C0973" w:rsidRPr="00006B0D" w:rsidRDefault="008C0973" w:rsidP="008C0973">
            <w:pPr>
              <w:pStyle w:val="Piedepgina"/>
              <w:numPr>
                <w:ilvl w:val="0"/>
                <w:numId w:val="5"/>
              </w:numPr>
              <w:spacing w:line="360" w:lineRule="auto"/>
              <w:ind w:left="306" w:hanging="218"/>
              <w:rPr>
                <w:rFonts w:ascii="Times New Roman" w:hAnsi="Times New Roman" w:cs="Times New Roman"/>
                <w:lang w:val="es-419"/>
              </w:rPr>
            </w:pPr>
            <w:r w:rsidRPr="00006B0D">
              <w:rPr>
                <w:rFonts w:ascii="Times New Roman" w:hAnsi="Times New Roman" w:cs="Times New Roman"/>
                <w:lang w:val="es-419"/>
              </w:rPr>
              <w:t>Promover la innovación como parte de los nuevos valores de la organización.</w:t>
            </w:r>
          </w:p>
        </w:tc>
      </w:tr>
    </w:tbl>
    <w:p w:rsidR="008C0973" w:rsidRPr="008C0973" w:rsidRDefault="008C0973" w:rsidP="001245EA">
      <w:pPr>
        <w:spacing w:line="360" w:lineRule="auto"/>
        <w:rPr>
          <w:rFonts w:ascii="Times New Roman" w:hAnsi="Times New Roman"/>
          <w:szCs w:val="24"/>
          <w:lang w:val="es-419"/>
        </w:rPr>
      </w:pPr>
    </w:p>
    <w:sectPr w:rsidR="008C0973" w:rsidRPr="008C0973" w:rsidSect="00302FC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914"/>
    <w:multiLevelType w:val="hybridMultilevel"/>
    <w:tmpl w:val="99BA06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0A51"/>
    <w:multiLevelType w:val="hybridMultilevel"/>
    <w:tmpl w:val="D4B25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96ED9"/>
    <w:multiLevelType w:val="hybridMultilevel"/>
    <w:tmpl w:val="528417A2"/>
    <w:lvl w:ilvl="0" w:tplc="26169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D18E8"/>
    <w:multiLevelType w:val="hybridMultilevel"/>
    <w:tmpl w:val="B6543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A042D"/>
    <w:multiLevelType w:val="hybridMultilevel"/>
    <w:tmpl w:val="CF429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C2"/>
    <w:rsid w:val="000172B4"/>
    <w:rsid w:val="00077974"/>
    <w:rsid w:val="00085DD3"/>
    <w:rsid w:val="000C1BCB"/>
    <w:rsid w:val="001065EA"/>
    <w:rsid w:val="001245EA"/>
    <w:rsid w:val="001912BD"/>
    <w:rsid w:val="00195C21"/>
    <w:rsid w:val="002774CE"/>
    <w:rsid w:val="002911A7"/>
    <w:rsid w:val="002B3491"/>
    <w:rsid w:val="002F52E2"/>
    <w:rsid w:val="00302FC2"/>
    <w:rsid w:val="003F47E5"/>
    <w:rsid w:val="0046670A"/>
    <w:rsid w:val="00482245"/>
    <w:rsid w:val="00487E42"/>
    <w:rsid w:val="004A77EF"/>
    <w:rsid w:val="00522740"/>
    <w:rsid w:val="00546EB1"/>
    <w:rsid w:val="005A1D28"/>
    <w:rsid w:val="0066374B"/>
    <w:rsid w:val="006931F1"/>
    <w:rsid w:val="00701C78"/>
    <w:rsid w:val="00724886"/>
    <w:rsid w:val="00725251"/>
    <w:rsid w:val="007554F3"/>
    <w:rsid w:val="007625E4"/>
    <w:rsid w:val="00787AD4"/>
    <w:rsid w:val="007B5E32"/>
    <w:rsid w:val="007B5EF9"/>
    <w:rsid w:val="007E614A"/>
    <w:rsid w:val="00800264"/>
    <w:rsid w:val="00885B72"/>
    <w:rsid w:val="008C0973"/>
    <w:rsid w:val="00900F7E"/>
    <w:rsid w:val="00914EDB"/>
    <w:rsid w:val="009169B9"/>
    <w:rsid w:val="00921037"/>
    <w:rsid w:val="009247A1"/>
    <w:rsid w:val="0093097B"/>
    <w:rsid w:val="00943BB4"/>
    <w:rsid w:val="009F3D49"/>
    <w:rsid w:val="00A05695"/>
    <w:rsid w:val="00A43353"/>
    <w:rsid w:val="00A50FD6"/>
    <w:rsid w:val="00A61AD5"/>
    <w:rsid w:val="00A648F3"/>
    <w:rsid w:val="00A64DF3"/>
    <w:rsid w:val="00AE71A4"/>
    <w:rsid w:val="00B00C0B"/>
    <w:rsid w:val="00B276F8"/>
    <w:rsid w:val="00B4745C"/>
    <w:rsid w:val="00C0059B"/>
    <w:rsid w:val="00C00FD9"/>
    <w:rsid w:val="00C902C2"/>
    <w:rsid w:val="00D058DF"/>
    <w:rsid w:val="00DF0457"/>
    <w:rsid w:val="00E04875"/>
    <w:rsid w:val="00E439D4"/>
    <w:rsid w:val="00E76270"/>
    <w:rsid w:val="00EA7393"/>
    <w:rsid w:val="00ED7C8D"/>
    <w:rsid w:val="00EF113E"/>
    <w:rsid w:val="00EF3945"/>
    <w:rsid w:val="00F04A90"/>
    <w:rsid w:val="00F80957"/>
    <w:rsid w:val="00FB5D1E"/>
    <w:rsid w:val="00F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972E"/>
  <w15:chartTrackingRefBased/>
  <w15:docId w15:val="{D29DC965-1A0C-4794-B74C-6F09A31C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FC2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val="es-ES_tradnl" w:eastAsia="ja-JP"/>
    </w:rPr>
  </w:style>
  <w:style w:type="table" w:styleId="Tablaconcuadrcula">
    <w:name w:val="Table Grid"/>
    <w:basedOn w:val="Tablanormal"/>
    <w:uiPriority w:val="59"/>
    <w:rsid w:val="0030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2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FC2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2B349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3491"/>
    <w:rPr>
      <w:rFonts w:ascii="Arial" w:eastAsia="Times New Roman" w:hAnsi="Arial" w:cs="Times New Roman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B3491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50FD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648F3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48F3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64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freepik.es/vector-gratis/fondo-flat-liderazgo_3198036.htm" TargetMode="External"/><Relationship Id="rId5" Type="http://schemas.openxmlformats.org/officeDocument/2006/relationships/hyperlink" Target="https://www.freepik.es/vector-gratis/etapas-desarrollo-crecimiento-negocios_1311558.ht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freepik.es/vector-gratis/lider-empresarial-lider-camino-sus-colegas_131160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2443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Romero</dc:creator>
  <cp:keywords/>
  <dc:description/>
  <cp:lastModifiedBy>Lorena Romero</cp:lastModifiedBy>
  <cp:revision>9</cp:revision>
  <dcterms:created xsi:type="dcterms:W3CDTF">2020-03-30T12:30:00Z</dcterms:created>
  <dcterms:modified xsi:type="dcterms:W3CDTF">2020-09-11T19:44:00Z</dcterms:modified>
</cp:coreProperties>
</file>