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F5" w:rsidRDefault="00830159"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sidRPr="000544F5">
        <w:rPr>
          <w:rFonts w:ascii="Times New Roman" w:eastAsia="Times New Roman" w:hAnsi="Times New Roman" w:cs="Times New Roman"/>
          <w:b/>
          <w:color w:val="000000"/>
          <w:highlight w:val="yellow"/>
          <w:lang w:val="es-419"/>
        </w:rPr>
        <w:t xml:space="preserve">INTERACTIVO: </w:t>
      </w:r>
      <w:r w:rsidR="000544F5" w:rsidRPr="000544F5">
        <w:rPr>
          <w:rFonts w:ascii="Times New Roman" w:eastAsia="Times New Roman" w:hAnsi="Times New Roman" w:cs="Times New Roman"/>
          <w:b/>
          <w:color w:val="000000"/>
          <w:highlight w:val="yellow"/>
          <w:lang w:val="es-419"/>
        </w:rPr>
        <w:t xml:space="preserve"> 4 ítems</w:t>
      </w:r>
      <w:r w:rsidR="000544F5">
        <w:rPr>
          <w:rFonts w:ascii="Times New Roman" w:eastAsia="Times New Roman" w:hAnsi="Times New Roman" w:cs="Times New Roman"/>
          <w:b/>
          <w:color w:val="000000"/>
          <w:lang w:val="es-419"/>
        </w:rPr>
        <w:t xml:space="preserve"> </w:t>
      </w:r>
    </w:p>
    <w:p w:rsidR="000544F5" w:rsidRDefault="000544F5"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p>
    <w:p w:rsidR="00830159" w:rsidRDefault="000544F5"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sidRPr="000544F5">
        <w:rPr>
          <w:rFonts w:ascii="Times New Roman" w:eastAsia="Times New Roman" w:hAnsi="Times New Roman" w:cs="Times New Roman"/>
          <w:b/>
          <w:color w:val="000000"/>
          <w:highlight w:val="green"/>
          <w:lang w:val="es-419"/>
        </w:rPr>
        <w:t>Título:</w:t>
      </w:r>
      <w:r>
        <w:rPr>
          <w:rFonts w:ascii="Times New Roman" w:eastAsia="Times New Roman" w:hAnsi="Times New Roman" w:cs="Times New Roman"/>
          <w:b/>
          <w:color w:val="000000"/>
          <w:lang w:val="es-419"/>
        </w:rPr>
        <w:t xml:space="preserve"> </w:t>
      </w:r>
      <w:r w:rsidR="00FF48EB">
        <w:rPr>
          <w:rFonts w:ascii="Times New Roman" w:eastAsia="Times New Roman" w:hAnsi="Times New Roman" w:cs="Times New Roman"/>
          <w:b/>
          <w:color w:val="000000"/>
          <w:lang w:val="es-419"/>
        </w:rPr>
        <w:t xml:space="preserve"> Resistencia al cambio </w:t>
      </w:r>
      <w:bookmarkStart w:id="0" w:name="_GoBack"/>
      <w:bookmarkEnd w:id="0"/>
    </w:p>
    <w:p w:rsidR="00FF48EB" w:rsidRDefault="00FF48EB"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p>
    <w:p w:rsidR="00FF48EB" w:rsidRDefault="00FF48EB"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Pr>
          <w:rFonts w:ascii="Times New Roman" w:eastAsia="Times New Roman" w:hAnsi="Times New Roman" w:cs="Times New Roman"/>
          <w:b/>
          <w:color w:val="000000"/>
          <w:lang w:val="es-419"/>
        </w:rPr>
        <w:t xml:space="preserve">Esquema de referencia </w:t>
      </w:r>
      <w:r w:rsidR="00BD6B8D">
        <w:rPr>
          <w:rFonts w:ascii="Times New Roman" w:eastAsia="Times New Roman" w:hAnsi="Times New Roman" w:cs="Times New Roman"/>
          <w:b/>
          <w:color w:val="000000"/>
          <w:lang w:val="es-419"/>
        </w:rPr>
        <w:t>:</w:t>
      </w:r>
      <w:r w:rsidR="00BD6B8D" w:rsidRPr="00BD6B8D">
        <w:t xml:space="preserve"> </w:t>
      </w:r>
      <w:hyperlink r:id="rId4" w:history="1">
        <w:r w:rsidR="00BD6B8D">
          <w:rPr>
            <w:rStyle w:val="Hipervnculo"/>
          </w:rPr>
          <w:t>https://www.freepik.es/vector-premium/color-papel-origami-grafico-circulo-4-pasos-plantilla-grafico-informacion-diagrama-presentacion-diagrama-concepto-negocio-4-opciones-elemento_8492250.htm</w:t>
        </w:r>
      </w:hyperlink>
    </w:p>
    <w:p w:rsidR="00FF48EB" w:rsidRDefault="00BD6B8D"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Pr>
          <w:noProof/>
        </w:rPr>
        <w:drawing>
          <wp:inline distT="0" distB="0" distL="0" distR="0">
            <wp:extent cx="5612130" cy="2492375"/>
            <wp:effectExtent l="0" t="0" r="7620" b="3175"/>
            <wp:docPr id="4" name="Imagen 4" descr="Color de papel de origami de gráfico de círculo de 4 pasos en plantilla de gráfico de información para diagrama de presentación de diagrama y concepto de negocio con 4 opciones de elemento Vector Prem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de papel de origami de gráfico de círculo de 4 pasos en plantilla de gráfico de información para diagrama de presentación de diagrama y concepto de negocio con 4 opciones de elemento Vector Premiu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492375"/>
                    </a:xfrm>
                    <a:prstGeom prst="rect">
                      <a:avLst/>
                    </a:prstGeom>
                    <a:noFill/>
                    <a:ln>
                      <a:noFill/>
                    </a:ln>
                  </pic:spPr>
                </pic:pic>
              </a:graphicData>
            </a:graphic>
          </wp:inline>
        </w:drawing>
      </w:r>
    </w:p>
    <w:p w:rsidR="00830159" w:rsidRDefault="00FF48EB"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Pr>
          <w:rFonts w:ascii="Times New Roman" w:eastAsia="Times New Roman" w:hAnsi="Times New Roman" w:cs="Times New Roman"/>
          <w:b/>
          <w:color w:val="000000"/>
          <w:lang w:val="es-419"/>
        </w:rPr>
        <w:t>Al hacer clic en cada botón se desprende la información correspond</w:t>
      </w:r>
      <w:r w:rsidR="00BD5FBF">
        <w:rPr>
          <w:rFonts w:ascii="Times New Roman" w:eastAsia="Times New Roman" w:hAnsi="Times New Roman" w:cs="Times New Roman"/>
          <w:b/>
          <w:color w:val="000000"/>
          <w:lang w:val="es-419"/>
        </w:rPr>
        <w:t>iente:</w:t>
      </w:r>
    </w:p>
    <w:p w:rsidR="00FF48EB" w:rsidRDefault="00FF48EB"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p>
    <w:p w:rsidR="00830159" w:rsidRPr="00FF48EB" w:rsidRDefault="00FF48EB"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sidRPr="00FF48EB">
        <w:rPr>
          <w:rFonts w:ascii="Times New Roman" w:eastAsia="Times New Roman" w:hAnsi="Times New Roman" w:cs="Times New Roman"/>
          <w:b/>
          <w:color w:val="000000"/>
          <w:highlight w:val="green"/>
          <w:lang w:val="es-419"/>
        </w:rPr>
        <w:t>Botón 1</w:t>
      </w:r>
      <w:r w:rsidRPr="00FF48EB">
        <w:rPr>
          <w:rFonts w:ascii="Times New Roman" w:eastAsia="Times New Roman" w:hAnsi="Times New Roman" w:cs="Times New Roman"/>
          <w:b/>
          <w:color w:val="000000"/>
          <w:lang w:val="es-419"/>
        </w:rPr>
        <w:t xml:space="preserve"> </w:t>
      </w:r>
    </w:p>
    <w:p w:rsidR="003F739A" w:rsidRPr="00006B0D" w:rsidRDefault="003F739A" w:rsidP="003F739A">
      <w:pPr>
        <w:pStyle w:val="Piedepgina"/>
        <w:tabs>
          <w:tab w:val="left" w:pos="854"/>
          <w:tab w:val="left" w:pos="1372"/>
        </w:tabs>
        <w:spacing w:line="360" w:lineRule="auto"/>
        <w:jc w:val="both"/>
        <w:rPr>
          <w:rFonts w:ascii="Times New Roman" w:eastAsia="Times New Roman" w:hAnsi="Times New Roman" w:cs="Times New Roman"/>
          <w:b/>
          <w:color w:val="000000"/>
          <w:lang w:val="es-419"/>
        </w:rPr>
      </w:pPr>
      <w:r w:rsidRPr="00006B0D">
        <w:rPr>
          <w:rFonts w:ascii="Times New Roman" w:eastAsia="Times New Roman" w:hAnsi="Times New Roman" w:cs="Times New Roman"/>
          <w:b/>
          <w:color w:val="000000"/>
          <w:lang w:val="es-419"/>
        </w:rPr>
        <w:t xml:space="preserve">Resistencia al cambio en colectivos </w:t>
      </w:r>
    </w:p>
    <w:p w:rsidR="003F739A" w:rsidRDefault="003F739A" w:rsidP="003F739A">
      <w:pPr>
        <w:pStyle w:val="Piedepgina"/>
        <w:tabs>
          <w:tab w:val="left" w:pos="854"/>
          <w:tab w:val="left" w:pos="1372"/>
        </w:tabs>
        <w:spacing w:line="360" w:lineRule="auto"/>
        <w:jc w:val="both"/>
        <w:rPr>
          <w:rFonts w:ascii="Times New Roman" w:eastAsia="Times New Roman" w:hAnsi="Times New Roman" w:cs="Times New Roman"/>
          <w:color w:val="000000"/>
          <w:lang w:val="es-419"/>
        </w:rPr>
      </w:pPr>
      <w:r w:rsidRPr="00006B0D">
        <w:rPr>
          <w:rFonts w:ascii="Times New Roman" w:eastAsia="Times New Roman" w:hAnsi="Times New Roman" w:cs="Times New Roman"/>
          <w:color w:val="000000"/>
          <w:lang w:val="es-419"/>
        </w:rPr>
        <w:t xml:space="preserve">No debe considerarse que la resistencia al cambio es un proceso donde todas las causas recaen en el individuo. King </w:t>
      </w:r>
      <w:r w:rsidRPr="00006B0D">
        <w:rPr>
          <w:rFonts w:ascii="Times New Roman" w:eastAsia="Times New Roman" w:hAnsi="Times New Roman" w:cs="Times New Roman"/>
          <w:color w:val="000000"/>
          <w:lang w:val="es-419"/>
        </w:rPr>
        <w:fldChar w:fldCharType="begin" w:fldLock="1"/>
      </w:r>
      <w:r w:rsidRPr="00006B0D">
        <w:rPr>
          <w:rFonts w:ascii="Times New Roman" w:eastAsia="Times New Roman" w:hAnsi="Times New Roman" w:cs="Times New Roman"/>
          <w:color w:val="000000"/>
          <w:lang w:val="es-419"/>
        </w:rPr>
        <w:instrText>ADDIN CSL_CITATION {"citationItems":[{"id":"ITEM-1","itemData":{"ISSN":"1794-9998","author":[{"dropping-particle":"","family":"García","given":"Mónica","non-dropping-particle":"","parse-names":false,"suffix":""},{"dropping-particle":"","family":"Rubio","given":"Paola","non-dropping-particle":"","parse-names":false,"suffix":""},{"dropping-particle":"","family":"Bravo","given":"Laura","non-dropping-particle":"","parse-names":false,"suffix":""}],"container-title":"Diversitas: Perspectivas en Psicología","id":"ITEM-1","issue":"2","issued":{"date-parts":[["2007"]]},"page":"301-315","title":"Relación entre los factores de riesgo psicosocial y la resistencia al cambio organizacional en personal de seguridad de una empresa del sector económico terciario","type":"article-journal","volume":"3"},"prefix":"2003, citado por","uris":["http://www.mendeley.com/documents/?uuid=aecdcaff-37c3-45d2-a175-0187d397b41c"]}],"mendeley":{"formattedCitation":"(2003, citado por García et al., 2007)","plainTextFormattedCitation":"(2003, citado por García et al., 2007)","previouslyFormattedCitation":"(2003, citado por García et al., 2007)"},"properties":{"noteIndex":0},"schema":"https://github.com/citation-style-language/schema/raw/master/csl-citation.json"}</w:instrText>
      </w:r>
      <w:r w:rsidRPr="00006B0D">
        <w:rPr>
          <w:rFonts w:ascii="Times New Roman" w:eastAsia="Times New Roman" w:hAnsi="Times New Roman" w:cs="Times New Roman"/>
          <w:color w:val="000000"/>
          <w:lang w:val="es-419"/>
        </w:rPr>
        <w:fldChar w:fldCharType="separate"/>
      </w:r>
      <w:r w:rsidRPr="00006B0D">
        <w:rPr>
          <w:rFonts w:ascii="Times New Roman" w:eastAsia="Times New Roman" w:hAnsi="Times New Roman" w:cs="Times New Roman"/>
          <w:noProof/>
          <w:color w:val="000000"/>
          <w:lang w:val="es-419"/>
        </w:rPr>
        <w:t>(2003, citado por García et al., 2007)</w:t>
      </w:r>
      <w:r w:rsidRPr="00006B0D">
        <w:rPr>
          <w:rFonts w:ascii="Times New Roman" w:eastAsia="Times New Roman" w:hAnsi="Times New Roman" w:cs="Times New Roman"/>
          <w:color w:val="000000"/>
          <w:lang w:val="es-419"/>
        </w:rPr>
        <w:fldChar w:fldCharType="end"/>
      </w:r>
      <w:r w:rsidRPr="00006B0D">
        <w:rPr>
          <w:rFonts w:ascii="Times New Roman" w:eastAsia="Times New Roman" w:hAnsi="Times New Roman" w:cs="Times New Roman"/>
          <w:color w:val="000000"/>
          <w:lang w:val="es-419"/>
        </w:rPr>
        <w:t xml:space="preserve"> identifica que la resistencia al cambio se presenta en tres niveles diferentes, donde el individual es apenas una contribución a la intensidad de la resistencia, pero donde las causas vienen influidas en gran medida por los dos niveles restantes: el grupal y el organizacional. </w:t>
      </w:r>
    </w:p>
    <w:p w:rsidR="00FF48EB" w:rsidRDefault="00FF48EB" w:rsidP="003F739A">
      <w:pPr>
        <w:rPr>
          <w:rFonts w:ascii="Times New Roman" w:hAnsi="Times New Roman"/>
          <w:color w:val="000000"/>
        </w:rPr>
      </w:pPr>
    </w:p>
    <w:p w:rsidR="001A4D7D" w:rsidRDefault="00FF48EB" w:rsidP="003F739A">
      <w:pPr>
        <w:rPr>
          <w:rFonts w:ascii="Times New Roman" w:hAnsi="Times New Roman"/>
          <w:color w:val="000000"/>
        </w:rPr>
      </w:pPr>
      <w:r w:rsidRPr="00FF48EB">
        <w:rPr>
          <w:rFonts w:ascii="Times New Roman" w:hAnsi="Times New Roman"/>
          <w:color w:val="000000"/>
          <w:highlight w:val="green"/>
        </w:rPr>
        <w:t>Botón 2</w:t>
      </w:r>
      <w:r w:rsidR="003F739A" w:rsidRPr="00FF48EB">
        <w:rPr>
          <w:rFonts w:ascii="Times New Roman" w:hAnsi="Times New Roman"/>
          <w:color w:val="000000"/>
          <w:highlight w:val="green"/>
        </w:rPr>
        <w:t>.</w:t>
      </w:r>
    </w:p>
    <w:p w:rsidR="003F739A" w:rsidRDefault="003F739A" w:rsidP="003F739A"/>
    <w:p w:rsidR="003F739A" w:rsidRDefault="003F739A" w:rsidP="003F739A">
      <w:pPr>
        <w:rPr>
          <w:rFonts w:ascii="Times New Roman" w:hAnsi="Times New Roman"/>
          <w:b/>
          <w:bCs/>
        </w:rPr>
      </w:pPr>
      <w:r w:rsidRPr="003F739A">
        <w:rPr>
          <w:rFonts w:ascii="Times New Roman" w:hAnsi="Times New Roman"/>
          <w:b/>
          <w:bCs/>
        </w:rPr>
        <w:t>Niveles de la resistencia al cambio</w:t>
      </w:r>
    </w:p>
    <w:p w:rsidR="003F739A" w:rsidRDefault="003F739A" w:rsidP="003F739A">
      <w:pPr>
        <w:rPr>
          <w:rFonts w:ascii="Times New Roman" w:hAnsi="Times New Roman"/>
          <w:b/>
          <w:bCs/>
        </w:rPr>
      </w:pPr>
    </w:p>
    <w:p w:rsidR="003F739A" w:rsidRPr="003F739A" w:rsidRDefault="003F739A" w:rsidP="003F739A">
      <w:pPr>
        <w:rPr>
          <w:rFonts w:ascii="Times New Roman" w:hAnsi="Times New Roman"/>
          <w:b/>
          <w:bCs/>
        </w:rPr>
      </w:pPr>
      <w:r>
        <w:rPr>
          <w:rFonts w:ascii="Times New Roman" w:hAnsi="Times New Roman"/>
          <w:b/>
          <w:bCs/>
        </w:rPr>
        <w:t>Conozca los tres niveles de resistencia al cambio,</w:t>
      </w:r>
      <w:r w:rsidRPr="003F739A">
        <w:rPr>
          <w:rFonts w:ascii="Times New Roman" w:hAnsi="Times New Roman"/>
        </w:rPr>
        <w:t xml:space="preserve"> </w:t>
      </w:r>
      <w:r w:rsidRPr="00006B0D">
        <w:rPr>
          <w:rFonts w:ascii="Times New Roman" w:hAnsi="Times New Roman"/>
        </w:rPr>
        <w:t>sus características y ejemplos</w:t>
      </w:r>
      <w:r>
        <w:rPr>
          <w:rFonts w:ascii="Times New Roman" w:hAnsi="Times New Roman"/>
        </w:rPr>
        <w:t>:</w:t>
      </w:r>
    </w:p>
    <w:p w:rsidR="003F739A" w:rsidRDefault="003F739A" w:rsidP="003F739A">
      <w:pPr>
        <w:rPr>
          <w:rFonts w:ascii="Times New Roman" w:hAnsi="Times New Roman"/>
        </w:rPr>
      </w:pPr>
      <w:r w:rsidRPr="00006B0D">
        <w:rPr>
          <w:rFonts w:ascii="Times New Roman" w:hAnsi="Times New Roman"/>
        </w:rPr>
        <w:t>individual, grupal y organizacional</w:t>
      </w:r>
    </w:p>
    <w:p w:rsidR="00830159" w:rsidRDefault="00830159" w:rsidP="003F739A">
      <w:pPr>
        <w:rPr>
          <w:rFonts w:ascii="Times New Roman" w:hAnsi="Times New Roman"/>
        </w:rPr>
      </w:pPr>
    </w:p>
    <w:p w:rsidR="00830159" w:rsidRDefault="00830159" w:rsidP="003F739A">
      <w:pPr>
        <w:rPr>
          <w:rFonts w:ascii="Times New Roman" w:hAnsi="Times New Roman"/>
          <w:b/>
          <w:bCs/>
        </w:rPr>
      </w:pPr>
      <w:r>
        <w:rPr>
          <w:noProof/>
        </w:rPr>
        <w:lastRenderedPageBreak/>
        <w:drawing>
          <wp:inline distT="0" distB="0" distL="0" distR="0" wp14:anchorId="32BFF234" wp14:editId="0E13B7EE">
            <wp:extent cx="4759569" cy="3433697"/>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74346" cy="3444358"/>
                    </a:xfrm>
                    <a:prstGeom prst="rect">
                      <a:avLst/>
                    </a:prstGeom>
                  </pic:spPr>
                </pic:pic>
              </a:graphicData>
            </a:graphic>
          </wp:inline>
        </w:drawing>
      </w:r>
    </w:p>
    <w:p w:rsidR="00573120" w:rsidRDefault="00573120" w:rsidP="003F739A">
      <w:pPr>
        <w:rPr>
          <w:rFonts w:ascii="Times New Roman" w:hAnsi="Times New Roman"/>
          <w:b/>
          <w:bCs/>
          <w:highlight w:val="green"/>
        </w:rPr>
      </w:pPr>
      <w:r>
        <w:rPr>
          <w:rFonts w:ascii="Times New Roman" w:hAnsi="Times New Roman"/>
          <w:b/>
          <w:bCs/>
          <w:highlight w:val="green"/>
        </w:rPr>
        <w:t xml:space="preserve">Ajustar </w:t>
      </w:r>
      <w:proofErr w:type="gramStart"/>
      <w:r>
        <w:rPr>
          <w:rFonts w:ascii="Times New Roman" w:hAnsi="Times New Roman"/>
          <w:b/>
          <w:bCs/>
          <w:highlight w:val="green"/>
        </w:rPr>
        <w:t>diseño  de</w:t>
      </w:r>
      <w:proofErr w:type="gramEnd"/>
      <w:r>
        <w:rPr>
          <w:rFonts w:ascii="Times New Roman" w:hAnsi="Times New Roman"/>
          <w:b/>
          <w:bCs/>
          <w:highlight w:val="green"/>
        </w:rPr>
        <w:t xml:space="preserve"> la grafica </w:t>
      </w: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Textos editables: </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Niveles de resistencia al </w:t>
      </w:r>
      <w:proofErr w:type="spellStart"/>
      <w:r w:rsidRPr="00830159">
        <w:rPr>
          <w:rFonts w:ascii="Times New Roman" w:hAnsi="Times New Roman"/>
          <w:b/>
          <w:bCs/>
          <w:highlight w:val="green"/>
        </w:rPr>
        <w:t>al</w:t>
      </w:r>
      <w:proofErr w:type="spellEnd"/>
      <w:r w:rsidRPr="00830159">
        <w:rPr>
          <w:rFonts w:ascii="Times New Roman" w:hAnsi="Times New Roman"/>
          <w:b/>
          <w:bCs/>
          <w:highlight w:val="green"/>
        </w:rPr>
        <w:t xml:space="preserve"> cambio </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Individual: se relaciona con la intensidad de la resistencia</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Factores de personalidad: </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highlight w:val="green"/>
        </w:rPr>
      </w:pPr>
      <w:r w:rsidRPr="00830159">
        <w:rPr>
          <w:rFonts w:ascii="Times New Roman" w:hAnsi="Times New Roman"/>
          <w:highlight w:val="green"/>
        </w:rPr>
        <w:t xml:space="preserve">Locus de control </w:t>
      </w:r>
    </w:p>
    <w:p w:rsidR="00830159" w:rsidRPr="00830159" w:rsidRDefault="00830159" w:rsidP="003F739A">
      <w:pPr>
        <w:rPr>
          <w:rFonts w:ascii="Times New Roman" w:hAnsi="Times New Roman"/>
          <w:highlight w:val="green"/>
        </w:rPr>
      </w:pPr>
      <w:r w:rsidRPr="00830159">
        <w:rPr>
          <w:rFonts w:ascii="Times New Roman" w:hAnsi="Times New Roman"/>
          <w:highlight w:val="green"/>
        </w:rPr>
        <w:t xml:space="preserve">Actitudes </w:t>
      </w:r>
    </w:p>
    <w:p w:rsidR="00830159" w:rsidRPr="00830159" w:rsidRDefault="00830159" w:rsidP="003F739A">
      <w:pPr>
        <w:rPr>
          <w:rFonts w:ascii="Times New Roman" w:hAnsi="Times New Roman"/>
          <w:highlight w:val="green"/>
        </w:rPr>
      </w:pPr>
      <w:r w:rsidRPr="00830159">
        <w:rPr>
          <w:rFonts w:ascii="Times New Roman" w:hAnsi="Times New Roman"/>
          <w:highlight w:val="green"/>
        </w:rPr>
        <w:t>Poder</w:t>
      </w:r>
    </w:p>
    <w:p w:rsidR="00830159" w:rsidRPr="00830159" w:rsidRDefault="00830159" w:rsidP="003F739A">
      <w:pPr>
        <w:rPr>
          <w:rFonts w:ascii="Times New Roman" w:hAnsi="Times New Roman"/>
          <w:highlight w:val="green"/>
        </w:rPr>
      </w:pPr>
      <w:r w:rsidRPr="00830159">
        <w:rPr>
          <w:rFonts w:ascii="Times New Roman" w:hAnsi="Times New Roman"/>
          <w:highlight w:val="green"/>
        </w:rPr>
        <w:t>Independencia</w:t>
      </w:r>
    </w:p>
    <w:p w:rsidR="00830159" w:rsidRPr="00830159" w:rsidRDefault="00830159" w:rsidP="003F739A">
      <w:pPr>
        <w:rPr>
          <w:rFonts w:ascii="Times New Roman" w:hAnsi="Times New Roman"/>
          <w:highlight w:val="green"/>
        </w:rPr>
      </w:pPr>
      <w:r w:rsidRPr="00830159">
        <w:rPr>
          <w:rFonts w:ascii="Times New Roman" w:hAnsi="Times New Roman"/>
          <w:highlight w:val="green"/>
        </w:rPr>
        <w:t>Autoritarismo</w:t>
      </w:r>
    </w:p>
    <w:p w:rsidR="00830159" w:rsidRPr="00830159" w:rsidRDefault="00830159" w:rsidP="003F739A">
      <w:pPr>
        <w:rPr>
          <w:rFonts w:ascii="Times New Roman" w:hAnsi="Times New Roman"/>
          <w:highlight w:val="green"/>
        </w:rPr>
      </w:pPr>
      <w:r w:rsidRPr="00830159">
        <w:rPr>
          <w:rFonts w:ascii="Times New Roman" w:hAnsi="Times New Roman"/>
          <w:highlight w:val="green"/>
        </w:rPr>
        <w:t>Necesidad del logro</w:t>
      </w:r>
    </w:p>
    <w:p w:rsidR="00830159" w:rsidRPr="00830159" w:rsidRDefault="00830159" w:rsidP="003F739A">
      <w:pPr>
        <w:rPr>
          <w:rFonts w:ascii="Times New Roman" w:hAnsi="Times New Roman"/>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Grupal</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Se relaciona con los modos de manifestación la resistencia </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Factores de composición y relación</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highlight w:val="green"/>
        </w:rPr>
      </w:pPr>
      <w:r w:rsidRPr="00830159">
        <w:rPr>
          <w:rFonts w:ascii="Times New Roman" w:hAnsi="Times New Roman"/>
          <w:highlight w:val="green"/>
        </w:rPr>
        <w:t xml:space="preserve">Autonomía </w:t>
      </w:r>
    </w:p>
    <w:p w:rsidR="00830159" w:rsidRPr="00830159" w:rsidRDefault="00830159" w:rsidP="003F739A">
      <w:pPr>
        <w:rPr>
          <w:rFonts w:ascii="Times New Roman" w:hAnsi="Times New Roman"/>
          <w:highlight w:val="green"/>
        </w:rPr>
      </w:pPr>
      <w:r w:rsidRPr="00830159">
        <w:rPr>
          <w:rFonts w:ascii="Times New Roman" w:hAnsi="Times New Roman"/>
          <w:highlight w:val="green"/>
        </w:rPr>
        <w:t xml:space="preserve">Cohesión </w:t>
      </w:r>
    </w:p>
    <w:p w:rsidR="00830159" w:rsidRPr="00830159" w:rsidRDefault="00830159" w:rsidP="003F739A">
      <w:pPr>
        <w:rPr>
          <w:rFonts w:ascii="Times New Roman" w:hAnsi="Times New Roman"/>
          <w:highlight w:val="green"/>
        </w:rPr>
      </w:pPr>
      <w:r w:rsidRPr="00830159">
        <w:rPr>
          <w:rFonts w:ascii="Times New Roman" w:hAnsi="Times New Roman"/>
          <w:highlight w:val="green"/>
        </w:rPr>
        <w:t>Normas sociales</w:t>
      </w:r>
    </w:p>
    <w:p w:rsidR="00830159" w:rsidRPr="00830159" w:rsidRDefault="00830159" w:rsidP="003F739A">
      <w:pPr>
        <w:rPr>
          <w:rFonts w:ascii="Times New Roman" w:hAnsi="Times New Roman"/>
          <w:highlight w:val="green"/>
        </w:rPr>
      </w:pPr>
      <w:r w:rsidRPr="00830159">
        <w:rPr>
          <w:rFonts w:ascii="Times New Roman" w:hAnsi="Times New Roman"/>
          <w:highlight w:val="green"/>
        </w:rPr>
        <w:t xml:space="preserve">Participación </w:t>
      </w:r>
    </w:p>
    <w:p w:rsidR="00830159" w:rsidRPr="00830159" w:rsidRDefault="00830159" w:rsidP="003F739A">
      <w:pPr>
        <w:rPr>
          <w:rFonts w:ascii="Times New Roman" w:hAnsi="Times New Roman"/>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Organizacional </w:t>
      </w: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 </w:t>
      </w: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Se relacionan con las causas de la resistencia </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b/>
          <w:bCs/>
          <w:highlight w:val="green"/>
        </w:rPr>
      </w:pPr>
      <w:r w:rsidRPr="00830159">
        <w:rPr>
          <w:rFonts w:ascii="Times New Roman" w:hAnsi="Times New Roman"/>
          <w:b/>
          <w:bCs/>
          <w:highlight w:val="green"/>
        </w:rPr>
        <w:t xml:space="preserve">Factores de estructura y cultura </w:t>
      </w:r>
    </w:p>
    <w:p w:rsidR="00830159" w:rsidRPr="00830159" w:rsidRDefault="00830159" w:rsidP="003F739A">
      <w:pPr>
        <w:rPr>
          <w:rFonts w:ascii="Times New Roman" w:hAnsi="Times New Roman"/>
          <w:b/>
          <w:bCs/>
          <w:highlight w:val="green"/>
        </w:rPr>
      </w:pPr>
    </w:p>
    <w:p w:rsidR="00830159" w:rsidRPr="00830159" w:rsidRDefault="00830159" w:rsidP="003F739A">
      <w:pPr>
        <w:rPr>
          <w:rFonts w:ascii="Times New Roman" w:hAnsi="Times New Roman"/>
          <w:highlight w:val="green"/>
        </w:rPr>
      </w:pPr>
      <w:r w:rsidRPr="00830159">
        <w:rPr>
          <w:rFonts w:ascii="Times New Roman" w:hAnsi="Times New Roman"/>
          <w:highlight w:val="green"/>
        </w:rPr>
        <w:t>Clima laboral</w:t>
      </w:r>
    </w:p>
    <w:p w:rsidR="00830159" w:rsidRPr="00830159" w:rsidRDefault="00830159" w:rsidP="003F739A">
      <w:pPr>
        <w:rPr>
          <w:rFonts w:ascii="Times New Roman" w:hAnsi="Times New Roman"/>
          <w:highlight w:val="green"/>
        </w:rPr>
      </w:pPr>
      <w:r w:rsidRPr="00830159">
        <w:rPr>
          <w:rFonts w:ascii="Times New Roman" w:hAnsi="Times New Roman"/>
          <w:highlight w:val="green"/>
        </w:rPr>
        <w:t xml:space="preserve">Estrategias </w:t>
      </w:r>
    </w:p>
    <w:p w:rsidR="00830159" w:rsidRPr="00830159" w:rsidRDefault="00830159" w:rsidP="003F739A">
      <w:pPr>
        <w:rPr>
          <w:rFonts w:ascii="Times New Roman" w:hAnsi="Times New Roman"/>
        </w:rPr>
      </w:pPr>
      <w:r w:rsidRPr="00830159">
        <w:rPr>
          <w:rFonts w:ascii="Times New Roman" w:hAnsi="Times New Roman"/>
          <w:highlight w:val="green"/>
        </w:rPr>
        <w:t>Valores</w:t>
      </w:r>
    </w:p>
    <w:p w:rsidR="00830159" w:rsidRDefault="00830159" w:rsidP="003F739A">
      <w:pPr>
        <w:rPr>
          <w:rFonts w:ascii="Times New Roman" w:hAnsi="Times New Roman"/>
          <w:b/>
          <w:bCs/>
        </w:rPr>
      </w:pPr>
    </w:p>
    <w:p w:rsidR="00830159" w:rsidRDefault="00830159" w:rsidP="003F739A">
      <w:pPr>
        <w:rPr>
          <w:rFonts w:ascii="Times New Roman" w:hAnsi="Times New Roman"/>
          <w:b/>
          <w:bCs/>
        </w:rPr>
      </w:pPr>
    </w:p>
    <w:p w:rsidR="00830159" w:rsidRPr="00FF48EB" w:rsidRDefault="00FF48EB" w:rsidP="003F739A">
      <w:pPr>
        <w:rPr>
          <w:rFonts w:ascii="Times New Roman" w:hAnsi="Times New Roman"/>
          <w:b/>
          <w:bCs/>
        </w:rPr>
      </w:pPr>
      <w:r w:rsidRPr="00FF48EB">
        <w:rPr>
          <w:rFonts w:ascii="Times New Roman" w:hAnsi="Times New Roman"/>
          <w:b/>
          <w:bCs/>
          <w:highlight w:val="green"/>
        </w:rPr>
        <w:t>Botón 3</w:t>
      </w:r>
    </w:p>
    <w:p w:rsidR="00830159" w:rsidRDefault="00830159" w:rsidP="003F739A">
      <w:pPr>
        <w:rPr>
          <w:rFonts w:ascii="Times New Roman" w:hAnsi="Times New Roman"/>
          <w:b/>
          <w:bCs/>
        </w:rPr>
      </w:pPr>
    </w:p>
    <w:p w:rsidR="00830159" w:rsidRPr="00006B0D" w:rsidRDefault="00830159" w:rsidP="00830159">
      <w:pPr>
        <w:pStyle w:val="Piedepgina"/>
        <w:tabs>
          <w:tab w:val="left" w:pos="854"/>
          <w:tab w:val="left" w:pos="1372"/>
        </w:tabs>
        <w:spacing w:line="360" w:lineRule="auto"/>
        <w:jc w:val="both"/>
        <w:rPr>
          <w:rFonts w:ascii="Times New Roman" w:eastAsia="Times New Roman" w:hAnsi="Times New Roman" w:cs="Times New Roman"/>
          <w:color w:val="000000"/>
          <w:lang w:val="es-419"/>
        </w:rPr>
      </w:pPr>
      <w:r w:rsidRPr="00006B0D">
        <w:rPr>
          <w:rFonts w:ascii="Times New Roman" w:eastAsia="Times New Roman" w:hAnsi="Times New Roman" w:cs="Times New Roman"/>
          <w:color w:val="000000"/>
          <w:lang w:val="es-419"/>
        </w:rPr>
        <w:t xml:space="preserve">García y Forero </w:t>
      </w:r>
      <w:r w:rsidRPr="00006B0D">
        <w:rPr>
          <w:rFonts w:ascii="Times New Roman" w:eastAsia="Times New Roman" w:hAnsi="Times New Roman" w:cs="Times New Roman"/>
          <w:color w:val="000000"/>
          <w:lang w:val="es-419"/>
        </w:rPr>
        <w:fldChar w:fldCharType="begin" w:fldLock="1"/>
      </w:r>
      <w:r w:rsidRPr="00006B0D">
        <w:rPr>
          <w:rFonts w:ascii="Times New Roman" w:eastAsia="Times New Roman" w:hAnsi="Times New Roman" w:cs="Times New Roman"/>
          <w:color w:val="000000"/>
          <w:lang w:val="es-419"/>
        </w:rPr>
        <w:instrText>ADDIN CSL_CITATION {"citationItems":[{"id":"ITEM-1","itemData":{"ISBN":"978-958-8785-31-8","author":[{"dropping-particle":"","family":"García","given":"Mónica","non-dropping-particle":"","parse-names":false,"suffix":""},{"dropping-particle":"","family":"Forero","given":"Carlos","non-dropping-particle":"","parse-names":false,"suffix":""}],"container-title":"Psicología de las Organizaciones y del Trabajo: Apuestas de Investigación","editor":[{"dropping-particle":"","family":"Orejuela","given":"Johnny","non-dropping-particle":"","parse-names":false,"suffix":""}],"id":"ITEM-1","issued":{"date-parts":[["2014"]]},"page":"327-349","publisher":"Editorial Bonaventuriana","publisher-place":"Cali","title":"Motivación y satisfacción laboral como determinantes asociados al cambio organizacional","type":"chapter"},"suppress-author":1,"uris":["http://www.mendeley.com/documents/?uuid=02955eb7-9ce5-4426-a898-1c5769c7e071"]}],"mendeley":{"formattedCitation":"(2014)","plainTextFormattedCitation":"(2014)","previouslyFormattedCitation":"(2014)"},"properties":{"noteIndex":0},"schema":"https://github.com/citation-style-language/schema/raw/master/csl-citation.json"}</w:instrText>
      </w:r>
      <w:r w:rsidRPr="00006B0D">
        <w:rPr>
          <w:rFonts w:ascii="Times New Roman" w:eastAsia="Times New Roman" w:hAnsi="Times New Roman" w:cs="Times New Roman"/>
          <w:color w:val="000000"/>
          <w:lang w:val="es-419"/>
        </w:rPr>
        <w:fldChar w:fldCharType="separate"/>
      </w:r>
      <w:r w:rsidRPr="00006B0D">
        <w:rPr>
          <w:rFonts w:ascii="Times New Roman" w:eastAsia="Times New Roman" w:hAnsi="Times New Roman" w:cs="Times New Roman"/>
          <w:noProof/>
          <w:color w:val="000000"/>
          <w:lang w:val="es-419"/>
        </w:rPr>
        <w:t>(2014)</w:t>
      </w:r>
      <w:r w:rsidRPr="00006B0D">
        <w:rPr>
          <w:rFonts w:ascii="Times New Roman" w:eastAsia="Times New Roman" w:hAnsi="Times New Roman" w:cs="Times New Roman"/>
          <w:color w:val="000000"/>
          <w:lang w:val="es-419"/>
        </w:rPr>
        <w:fldChar w:fldCharType="end"/>
      </w:r>
      <w:r w:rsidRPr="00006B0D">
        <w:rPr>
          <w:rFonts w:ascii="Times New Roman" w:eastAsia="Times New Roman" w:hAnsi="Times New Roman" w:cs="Times New Roman"/>
          <w:color w:val="000000"/>
          <w:lang w:val="es-419"/>
        </w:rPr>
        <w:t xml:space="preserve"> recomiendan que para comprender o diagnosticar mejor las causas reales del cambio, es importante identificar primero los valores reales que predominan en la organización. Por ejemplo, se ha observado que los trabajadores son menos resistentes en organizaciones que fomentan valores como el crecimiento y la flexibilidad de los colaboradores, el desarrollo de recursos y tecnología, la competitividad y los resultados, entre otros </w:t>
      </w:r>
      <w:r w:rsidRPr="00006B0D">
        <w:rPr>
          <w:rFonts w:ascii="Times New Roman" w:eastAsia="Times New Roman" w:hAnsi="Times New Roman" w:cs="Times New Roman"/>
          <w:color w:val="000000"/>
          <w:lang w:val="es-419"/>
        </w:rPr>
        <w:fldChar w:fldCharType="begin" w:fldLock="1"/>
      </w:r>
      <w:r w:rsidRPr="00006B0D">
        <w:rPr>
          <w:rFonts w:ascii="Times New Roman" w:eastAsia="Times New Roman" w:hAnsi="Times New Roman" w:cs="Times New Roman"/>
          <w:color w:val="000000"/>
          <w:lang w:val="es-419"/>
        </w:rPr>
        <w:instrText>ADDIN CSL_CITATION {"citationItems":[{"id":"ITEM-1","itemData":{"DOI":"10.1016/j.cede.2011.02.007","ISBN":"8178582155","ISSN":"11385758","abstract":"This paper deepens and expands the study of the factors determining resistance to change in employees. It includes new personality-related and structural contextual antecedents that, alongside variables related to the management of the change process and its consequences, allow the authors to contribute new evidence. The empirical analysis uses a sample of 143 employees from 7 organisations, and the results confirm the influence of cultural values, involvement in the change, perceived outcomes, and self-esteem on resistance behaviours. Theoretical conclusions associated with the potential of organisation-based self-esteem to moderate the effect of cultural values on employees' resistance to change, and practical applications for organisation managers, are offered. © 2009 ACEDE.","author":[{"dropping-particle":"","family":"García-Cabrera","given":"Antonia Mercedes","non-dropping-particle":"","parse-names":false,"suffix":""},{"dropping-particle":"","family":"Álamo-Vera","given":"Francisca Rosa","non-dropping-particle":"","parse-names":false,"suffix":""},{"dropping-particle":"","family":"Hernández","given":"Fernando García Barba","non-dropping-particle":"","parse-names":false,"suffix":""}],"container-title":"Cuadernos de Economía y Dirección de la Empresa","id":"ITEM-1","issue":"4","issued":{"date-parts":[["2011"]]},"page":"231-246","title":"Antecedentes de la resistencia al cambio: Factores individuales y contextuales","type":"article-journal","volume":"14"},"uris":["http://www.mendeley.com/documents/?uuid=06fcdbdd-3a04-4b1d-955d-37046c787d6b"]}],"mendeley":{"formattedCitation":"(García-Cabrera, Álamo-Vera, &amp; Hernández, 2011)","plainTextFormattedCitation":"(García-Cabrera, Álamo-Vera, &amp; Hernández, 2011)","previouslyFormattedCitation":"(García-Cabrera, Álamo-Vera, &amp; Hernández, 2011)"},"properties":{"noteIndex":0},"schema":"https://github.com/citation-style-language/schema/raw/master/csl-citation.json"}</w:instrText>
      </w:r>
      <w:r w:rsidRPr="00006B0D">
        <w:rPr>
          <w:rFonts w:ascii="Times New Roman" w:eastAsia="Times New Roman" w:hAnsi="Times New Roman" w:cs="Times New Roman"/>
          <w:color w:val="000000"/>
          <w:lang w:val="es-419"/>
        </w:rPr>
        <w:fldChar w:fldCharType="separate"/>
      </w:r>
      <w:r w:rsidRPr="00006B0D">
        <w:rPr>
          <w:rFonts w:ascii="Times New Roman" w:eastAsia="Times New Roman" w:hAnsi="Times New Roman" w:cs="Times New Roman"/>
          <w:noProof/>
          <w:color w:val="000000"/>
          <w:lang w:val="es-419"/>
        </w:rPr>
        <w:t>(García-Cabrera, Álamo-Vera, &amp; Hernández, 2011)</w:t>
      </w:r>
      <w:r w:rsidRPr="00006B0D">
        <w:rPr>
          <w:rFonts w:ascii="Times New Roman" w:eastAsia="Times New Roman" w:hAnsi="Times New Roman" w:cs="Times New Roman"/>
          <w:color w:val="000000"/>
          <w:lang w:val="es-419"/>
        </w:rPr>
        <w:fldChar w:fldCharType="end"/>
      </w:r>
      <w:r w:rsidRPr="00006B0D">
        <w:rPr>
          <w:rFonts w:ascii="Times New Roman" w:eastAsia="Times New Roman" w:hAnsi="Times New Roman" w:cs="Times New Roman"/>
          <w:color w:val="000000"/>
          <w:lang w:val="es-419"/>
        </w:rPr>
        <w:t>.</w:t>
      </w:r>
    </w:p>
    <w:p w:rsidR="00830159" w:rsidRDefault="00830159" w:rsidP="00830159">
      <w:pPr>
        <w:spacing w:line="360" w:lineRule="auto"/>
        <w:rPr>
          <w:rFonts w:ascii="Times New Roman" w:hAnsi="Times New Roman"/>
          <w:color w:val="000000"/>
          <w:szCs w:val="24"/>
        </w:rPr>
      </w:pPr>
    </w:p>
    <w:p w:rsidR="00830159" w:rsidRDefault="00FF48EB" w:rsidP="00830159">
      <w:pPr>
        <w:spacing w:line="360" w:lineRule="auto"/>
        <w:rPr>
          <w:rFonts w:ascii="Times New Roman" w:hAnsi="Times New Roman"/>
          <w:b/>
          <w:bCs/>
          <w:color w:val="000000"/>
          <w:szCs w:val="24"/>
        </w:rPr>
      </w:pPr>
      <w:r w:rsidRPr="00FF48EB">
        <w:rPr>
          <w:rFonts w:ascii="Times New Roman" w:hAnsi="Times New Roman"/>
          <w:b/>
          <w:bCs/>
          <w:color w:val="000000"/>
          <w:szCs w:val="24"/>
          <w:highlight w:val="green"/>
        </w:rPr>
        <w:t>Botón 4</w:t>
      </w:r>
    </w:p>
    <w:p w:rsidR="00460DDA" w:rsidRPr="00FF48EB" w:rsidRDefault="00460DDA" w:rsidP="00573120">
      <w:pPr>
        <w:spacing w:line="360" w:lineRule="auto"/>
        <w:rPr>
          <w:rFonts w:ascii="Times New Roman" w:hAnsi="Times New Roman"/>
          <w:b/>
          <w:bCs/>
          <w:color w:val="000000"/>
          <w:szCs w:val="24"/>
        </w:rPr>
      </w:pPr>
    </w:p>
    <w:p w:rsidR="00830159" w:rsidRPr="00460DDA" w:rsidRDefault="00830159" w:rsidP="00460DDA">
      <w:pPr>
        <w:spacing w:line="360" w:lineRule="auto"/>
        <w:rPr>
          <w:rFonts w:ascii="Times New Roman" w:hAnsi="Times New Roman"/>
          <w:color w:val="000000"/>
          <w:szCs w:val="24"/>
        </w:rPr>
      </w:pPr>
      <w:r w:rsidRPr="00006B0D">
        <w:rPr>
          <w:rFonts w:ascii="Times New Roman" w:hAnsi="Times New Roman"/>
          <w:color w:val="000000"/>
          <w:szCs w:val="24"/>
        </w:rPr>
        <w:t xml:space="preserve">Por otra parte, aquellas organizaciones que no están orientadas a valores de aprendizaje y competitividad suelen fomentar algo que se conoce como </w:t>
      </w:r>
      <w:r w:rsidRPr="00006B0D">
        <w:rPr>
          <w:rFonts w:ascii="Times New Roman" w:hAnsi="Times New Roman"/>
          <w:i/>
          <w:color w:val="000000"/>
          <w:szCs w:val="24"/>
        </w:rPr>
        <w:t>barreras defensivas</w:t>
      </w:r>
      <w:r w:rsidRPr="00006B0D">
        <w:rPr>
          <w:rFonts w:ascii="Times New Roman" w:hAnsi="Times New Roman"/>
          <w:color w:val="000000"/>
          <w:szCs w:val="24"/>
        </w:rPr>
        <w:t xml:space="preserve">. </w:t>
      </w:r>
      <w:r w:rsidRPr="00006B0D">
        <w:rPr>
          <w:rFonts w:ascii="Times New Roman" w:hAnsi="Times New Roman"/>
          <w:szCs w:val="24"/>
          <w:lang w:eastAsia="es-ES"/>
        </w:rPr>
        <w:t xml:space="preserve">Son patrones de comportamiento que operan con base en el ocultamiento de los errores, dificultando la capacidad identificarlos y solucionarlos. Se dan producto de una carencia del sentido de pertenencia, por lo que el trabajador responsabiliza a la organización de sus propios errores. </w:t>
      </w:r>
      <w:r w:rsidRPr="00006B0D">
        <w:rPr>
          <w:rFonts w:ascii="Times New Roman" w:hAnsi="Times New Roman"/>
          <w:color w:val="000000"/>
          <w:szCs w:val="24"/>
        </w:rPr>
        <w:t xml:space="preserve">En estos casos, los individuos involucran gran parte de su esfuerzo en encubrir las equivocaciones porque organizacionalmente éstas no se ven como una oportunidad de aprendizaje, sino como una ocasión para ser evaluados y sancionados </w:t>
      </w:r>
      <w:r w:rsidRPr="00006B0D">
        <w:rPr>
          <w:rFonts w:ascii="Times New Roman" w:hAnsi="Times New Roman"/>
          <w:color w:val="000000"/>
          <w:szCs w:val="24"/>
        </w:rPr>
        <w:fldChar w:fldCharType="begin" w:fldLock="1"/>
      </w:r>
      <w:r w:rsidRPr="00006B0D">
        <w:rPr>
          <w:rFonts w:ascii="Times New Roman" w:hAnsi="Times New Roman"/>
          <w:color w:val="000000"/>
          <w:szCs w:val="24"/>
        </w:rPr>
        <w:instrText>ADDIN CSL_CITATION {"citationItems":[{"id":"ITEM-1","itemData":{"author":[{"dropping-particle":"","family":"Parada","given":"Mónica","non-dropping-particle":"","parse-names":false,"suffix":""}],"chapter-number":"7","container-title":"Desarrollo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151-170","publisher":"Universidad Pontificia Bolivariana","publisher-place":"Bucaramanga","title":"Barreras defensivas del aprendizaje organizacional","type":"chapter"},"uris":["http://www.mendeley.com/documents/?uuid=c44926c1-9d16-4860-b21d-188d17a9f73a"]}],"mendeley":{"formattedCitation":"(Parada, 2012)","plainTextFormattedCitation":"(Parada, 2012)","previouslyFormattedCitation":"(Parada, 2012)"},"properties":{"noteIndex":0},"schema":"https://github.com/citation-style-language/schema/raw/master/csl-citation.json"}</w:instrText>
      </w:r>
      <w:r w:rsidRPr="00006B0D">
        <w:rPr>
          <w:rFonts w:ascii="Times New Roman" w:hAnsi="Times New Roman"/>
          <w:color w:val="000000"/>
          <w:szCs w:val="24"/>
        </w:rPr>
        <w:fldChar w:fldCharType="separate"/>
      </w:r>
      <w:r w:rsidRPr="00006B0D">
        <w:rPr>
          <w:rFonts w:ascii="Times New Roman" w:hAnsi="Times New Roman"/>
          <w:noProof/>
          <w:color w:val="000000"/>
          <w:szCs w:val="24"/>
        </w:rPr>
        <w:t>(Parada, 2012)</w:t>
      </w:r>
      <w:r w:rsidRPr="00006B0D">
        <w:rPr>
          <w:rFonts w:ascii="Times New Roman" w:hAnsi="Times New Roman"/>
          <w:color w:val="000000"/>
          <w:szCs w:val="24"/>
        </w:rPr>
        <w:fldChar w:fldCharType="end"/>
      </w:r>
      <w:r w:rsidR="00460DDA">
        <w:rPr>
          <w:rFonts w:ascii="Times New Roman" w:hAnsi="Times New Roman"/>
          <w:color w:val="000000"/>
          <w:szCs w:val="24"/>
        </w:rPr>
        <w:t>.</w:t>
      </w:r>
    </w:p>
    <w:sectPr w:rsidR="00830159" w:rsidRPr="00460D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9A"/>
    <w:rsid w:val="000544F5"/>
    <w:rsid w:val="001A4D7D"/>
    <w:rsid w:val="003F739A"/>
    <w:rsid w:val="00460DDA"/>
    <w:rsid w:val="00573120"/>
    <w:rsid w:val="00830159"/>
    <w:rsid w:val="00BD5FBF"/>
    <w:rsid w:val="00BD6B8D"/>
    <w:rsid w:val="00FF48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E67F"/>
  <w15:chartTrackingRefBased/>
  <w15:docId w15:val="{4A22EB68-0BA5-4C55-9B07-5DAE560F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9A"/>
    <w:pPr>
      <w:spacing w:after="0" w:line="240" w:lineRule="auto"/>
      <w:jc w:val="both"/>
    </w:pPr>
    <w:rPr>
      <w:rFonts w:ascii="Arial" w:eastAsia="Times New Roman" w:hAnsi="Arial" w:cs="Times New Roman"/>
      <w:sz w:val="24"/>
      <w:szCs w:val="20"/>
      <w:lang w:val="es-419"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F739A"/>
    <w:pPr>
      <w:tabs>
        <w:tab w:val="center" w:pos="4252"/>
        <w:tab w:val="right" w:pos="8504"/>
      </w:tabs>
      <w:jc w:val="left"/>
    </w:pPr>
    <w:rPr>
      <w:rFonts w:asciiTheme="minorHAnsi" w:eastAsiaTheme="minorEastAsia" w:hAnsiTheme="minorHAnsi" w:cstheme="minorBidi"/>
      <w:szCs w:val="24"/>
      <w:lang w:val="es-ES_tradnl" w:eastAsia="es-ES"/>
    </w:rPr>
  </w:style>
  <w:style w:type="character" w:customStyle="1" w:styleId="PiedepginaCar">
    <w:name w:val="Pie de página Car"/>
    <w:basedOn w:val="Fuentedeprrafopredeter"/>
    <w:link w:val="Piedepgina"/>
    <w:uiPriority w:val="99"/>
    <w:rsid w:val="003F739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3F73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739A"/>
    <w:rPr>
      <w:rFonts w:ascii="Segoe UI" w:eastAsia="Times New Roman" w:hAnsi="Segoe UI" w:cs="Segoe UI"/>
      <w:sz w:val="18"/>
      <w:szCs w:val="18"/>
      <w:lang w:val="es-419" w:eastAsia="es-CO"/>
    </w:rPr>
  </w:style>
  <w:style w:type="character" w:styleId="Hipervnculo">
    <w:name w:val="Hyperlink"/>
    <w:basedOn w:val="Fuentedeprrafopredeter"/>
    <w:uiPriority w:val="99"/>
    <w:semiHidden/>
    <w:unhideWhenUsed/>
    <w:rsid w:val="00BD6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www.freepik.es/vector-premium/color-papel-origami-grafico-circulo-4-pasos-plantilla-grafico-informacion-diagrama-presentacion-diagrama-concepto-negocio-4-opciones-elemento_8492250.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1330</Words>
  <Characters>7318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Romero</dc:creator>
  <cp:keywords/>
  <dc:description/>
  <cp:lastModifiedBy>Lorena Romero</cp:lastModifiedBy>
  <cp:revision>9</cp:revision>
  <dcterms:created xsi:type="dcterms:W3CDTF">2020-03-29T23:30:00Z</dcterms:created>
  <dcterms:modified xsi:type="dcterms:W3CDTF">2020-09-11T19:40:00Z</dcterms:modified>
</cp:coreProperties>
</file>