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C2" w:rsidRPr="004F7C46" w:rsidRDefault="00302FC2" w:rsidP="004F7C46">
      <w:pPr>
        <w:pStyle w:val="Prrafodelista"/>
        <w:numPr>
          <w:ilvl w:val="0"/>
          <w:numId w:val="1"/>
        </w:numPr>
        <w:pBdr>
          <w:top w:val="single" w:sz="4" w:space="1" w:color="auto"/>
        </w:pBdr>
        <w:autoSpaceDE w:val="0"/>
        <w:autoSpaceDN w:val="0"/>
        <w:adjustRightInd w:val="0"/>
        <w:spacing w:after="0"/>
        <w:ind w:left="0" w:firstLine="0"/>
        <w:rPr>
          <w:rFonts w:ascii="Times New Roman" w:hAnsi="Times New Roman" w:cs="Times New Roman"/>
          <w:b/>
          <w:color w:val="404040" w:themeColor="text1" w:themeTint="BF"/>
        </w:rPr>
      </w:pPr>
      <w:r w:rsidRPr="004F7C46">
        <w:rPr>
          <w:rFonts w:ascii="Times New Roman" w:hAnsi="Times New Roman" w:cs="Times New Roman"/>
          <w:b/>
          <w:color w:val="404040" w:themeColor="text1" w:themeTint="BF"/>
        </w:rPr>
        <w:t>GUION RECURSO MULTIMEDIA</w:t>
      </w:r>
    </w:p>
    <w:p w:rsidR="00C00FD9" w:rsidRPr="004F7C46" w:rsidRDefault="00C00FD9" w:rsidP="004F7C46">
      <w:pPr>
        <w:spacing w:line="240" w:lineRule="auto"/>
        <w:rPr>
          <w:rFonts w:ascii="Times New Roman" w:hAnsi="Times New Roman" w:cs="Times New Roman"/>
          <w:sz w:val="24"/>
          <w:szCs w:val="24"/>
        </w:rPr>
      </w:pPr>
    </w:p>
    <w:p w:rsidR="00302FC2" w:rsidRPr="004F7C46" w:rsidRDefault="00575A44" w:rsidP="004F7C46">
      <w:pPr>
        <w:spacing w:line="240" w:lineRule="auto"/>
        <w:rPr>
          <w:rFonts w:ascii="Times New Roman" w:hAnsi="Times New Roman" w:cs="Times New Roman"/>
          <w:sz w:val="24"/>
          <w:szCs w:val="24"/>
        </w:rPr>
      </w:pPr>
      <w:r w:rsidRPr="004F7C46">
        <w:rPr>
          <w:rFonts w:ascii="Times New Roman" w:hAnsi="Times New Roman" w:cs="Times New Roman"/>
          <w:b/>
          <w:bCs/>
          <w:sz w:val="24"/>
          <w:szCs w:val="24"/>
        </w:rPr>
        <w:t>Título</w:t>
      </w:r>
      <w:r w:rsidR="00302FC2" w:rsidRPr="004F7C46">
        <w:rPr>
          <w:rFonts w:ascii="Times New Roman" w:hAnsi="Times New Roman" w:cs="Times New Roman"/>
          <w:b/>
          <w:bCs/>
          <w:sz w:val="24"/>
          <w:szCs w:val="24"/>
        </w:rPr>
        <w:t xml:space="preserve"> del recurso</w:t>
      </w:r>
      <w:r w:rsidR="00302FC2" w:rsidRPr="004F7C46">
        <w:rPr>
          <w:rFonts w:ascii="Times New Roman" w:hAnsi="Times New Roman" w:cs="Times New Roman"/>
          <w:sz w:val="24"/>
          <w:szCs w:val="24"/>
        </w:rPr>
        <w:t xml:space="preserve">: </w:t>
      </w:r>
      <w:r w:rsidR="004B0CF6" w:rsidRPr="004F7C46">
        <w:rPr>
          <w:rFonts w:ascii="Times New Roman" w:hAnsi="Times New Roman" w:cs="Times New Roman"/>
          <w:sz w:val="24"/>
          <w:szCs w:val="24"/>
        </w:rPr>
        <w:t>motivaciones internas y externa</w:t>
      </w:r>
      <w:r w:rsidR="005D2D6B">
        <w:rPr>
          <w:rFonts w:ascii="Times New Roman" w:hAnsi="Times New Roman" w:cs="Times New Roman"/>
          <w:sz w:val="24"/>
          <w:szCs w:val="24"/>
        </w:rPr>
        <w:t>s</w:t>
      </w:r>
      <w:r w:rsidR="004B0CF6" w:rsidRPr="004F7C46">
        <w:rPr>
          <w:rFonts w:ascii="Times New Roman" w:hAnsi="Times New Roman" w:cs="Times New Roman"/>
          <w:sz w:val="24"/>
          <w:szCs w:val="24"/>
        </w:rPr>
        <w:t xml:space="preserve"> </w:t>
      </w:r>
    </w:p>
    <w:p w:rsidR="00302FC2" w:rsidRPr="004F7C46" w:rsidRDefault="00302FC2" w:rsidP="004F7C46">
      <w:pPr>
        <w:spacing w:line="240" w:lineRule="auto"/>
        <w:rPr>
          <w:rFonts w:ascii="Times New Roman" w:hAnsi="Times New Roman" w:cs="Times New Roman"/>
          <w:sz w:val="24"/>
          <w:szCs w:val="24"/>
        </w:rPr>
      </w:pPr>
      <w:r w:rsidRPr="004F7C46">
        <w:rPr>
          <w:rFonts w:ascii="Times New Roman" w:hAnsi="Times New Roman" w:cs="Times New Roman"/>
          <w:b/>
          <w:bCs/>
          <w:sz w:val="24"/>
          <w:szCs w:val="24"/>
        </w:rPr>
        <w:t>Tipo de material:</w:t>
      </w:r>
      <w:r w:rsidRPr="004F7C46">
        <w:rPr>
          <w:rFonts w:ascii="Times New Roman" w:hAnsi="Times New Roman" w:cs="Times New Roman"/>
          <w:sz w:val="24"/>
          <w:szCs w:val="24"/>
        </w:rPr>
        <w:t xml:space="preserve"> </w:t>
      </w:r>
      <w:r w:rsidR="004F7C46">
        <w:rPr>
          <w:rFonts w:ascii="Times New Roman" w:hAnsi="Times New Roman" w:cs="Times New Roman"/>
          <w:sz w:val="24"/>
          <w:szCs w:val="24"/>
        </w:rPr>
        <w:t xml:space="preserve">cuadro interactivo </w:t>
      </w:r>
    </w:p>
    <w:p w:rsidR="00302FC2" w:rsidRPr="004F7C46" w:rsidRDefault="00302FC2" w:rsidP="004F7C46">
      <w:pPr>
        <w:spacing w:line="240" w:lineRule="auto"/>
        <w:rPr>
          <w:rFonts w:ascii="Times New Roman" w:hAnsi="Times New Roman" w:cs="Times New Roman"/>
          <w:sz w:val="24"/>
          <w:szCs w:val="24"/>
        </w:rPr>
      </w:pPr>
    </w:p>
    <w:p w:rsidR="00302FC2" w:rsidRPr="004F7C46" w:rsidRDefault="00302FC2" w:rsidP="004F7C46">
      <w:pPr>
        <w:spacing w:line="240" w:lineRule="auto"/>
        <w:rPr>
          <w:rFonts w:ascii="Times New Roman" w:hAnsi="Times New Roman" w:cs="Times New Roman"/>
          <w:b/>
          <w:bCs/>
          <w:sz w:val="24"/>
          <w:szCs w:val="24"/>
        </w:rPr>
      </w:pPr>
      <w:r w:rsidRPr="004F7C46">
        <w:rPr>
          <w:rFonts w:ascii="Times New Roman" w:hAnsi="Times New Roman" w:cs="Times New Roman"/>
          <w:b/>
          <w:bCs/>
          <w:sz w:val="24"/>
          <w:szCs w:val="24"/>
        </w:rPr>
        <w:t xml:space="preserve">Recomendaciones para el diseñador: </w:t>
      </w:r>
    </w:p>
    <w:p w:rsidR="000A6A4D" w:rsidRDefault="000A6A4D" w:rsidP="004F7C46">
      <w:pPr>
        <w:pStyle w:val="Prrafodelista"/>
        <w:tabs>
          <w:tab w:val="left" w:pos="284"/>
        </w:tabs>
        <w:spacing w:after="160"/>
        <w:ind w:left="0" w:right="-568"/>
        <w:rPr>
          <w:rFonts w:ascii="Times New Roman" w:hAnsi="Times New Roman" w:cs="Times New Roman"/>
          <w:b/>
          <w:bCs/>
        </w:rPr>
      </w:pPr>
    </w:p>
    <w:p w:rsidR="004F7C46" w:rsidRDefault="004F7C46" w:rsidP="004F7C46">
      <w:pPr>
        <w:pStyle w:val="Prrafodelista"/>
        <w:tabs>
          <w:tab w:val="left" w:pos="284"/>
        </w:tabs>
        <w:spacing w:after="160"/>
        <w:ind w:left="0" w:right="-568"/>
        <w:rPr>
          <w:rFonts w:ascii="Times New Roman" w:hAnsi="Times New Roman" w:cs="Times New Roman"/>
          <w:b/>
          <w:bCs/>
        </w:rPr>
      </w:pPr>
      <w:r w:rsidRPr="00EA563B">
        <w:rPr>
          <w:rFonts w:ascii="Times New Roman" w:hAnsi="Times New Roman" w:cs="Times New Roman"/>
          <w:b/>
          <w:bCs/>
          <w:highlight w:val="green"/>
        </w:rPr>
        <w:t>Realizar un cuadro interactivo siguiendo el referente:</w:t>
      </w:r>
      <w:bookmarkStart w:id="0" w:name="_GoBack"/>
      <w:bookmarkEnd w:id="0"/>
    </w:p>
    <w:p w:rsidR="004F7C46" w:rsidRPr="004F7C46" w:rsidRDefault="004F7C46" w:rsidP="004F7C46">
      <w:pPr>
        <w:pStyle w:val="Prrafodelista"/>
        <w:tabs>
          <w:tab w:val="left" w:pos="284"/>
        </w:tabs>
        <w:spacing w:after="160"/>
        <w:ind w:left="0" w:right="-568"/>
        <w:rPr>
          <w:rFonts w:ascii="Times New Roman" w:hAnsi="Times New Roman" w:cs="Times New Roman"/>
          <w:b/>
          <w:bCs/>
        </w:rPr>
      </w:pPr>
    </w:p>
    <w:p w:rsidR="00EF3945" w:rsidRPr="004F7C46" w:rsidRDefault="007E614A" w:rsidP="004F7C46">
      <w:pPr>
        <w:pStyle w:val="Prrafodelista"/>
        <w:tabs>
          <w:tab w:val="left" w:pos="284"/>
        </w:tabs>
        <w:spacing w:after="160"/>
        <w:ind w:left="0" w:right="-568"/>
        <w:rPr>
          <w:rFonts w:ascii="Times New Roman" w:hAnsi="Times New Roman" w:cs="Times New Roman"/>
          <w:b/>
          <w:bCs/>
        </w:rPr>
      </w:pPr>
      <w:r w:rsidRPr="004F7C46">
        <w:rPr>
          <w:rFonts w:ascii="Times New Roman" w:hAnsi="Times New Roman" w:cs="Times New Roman"/>
          <w:b/>
          <w:bCs/>
        </w:rPr>
        <w:t>Texto introductorio</w:t>
      </w:r>
      <w:r w:rsidR="00AE71A4" w:rsidRPr="004F7C46">
        <w:rPr>
          <w:rFonts w:ascii="Times New Roman" w:hAnsi="Times New Roman" w:cs="Times New Roman"/>
          <w:b/>
          <w:bCs/>
        </w:rPr>
        <w:t xml:space="preserve"> </w:t>
      </w:r>
      <w:r w:rsidR="00AE71A4" w:rsidRPr="004F7C46">
        <w:rPr>
          <w:rFonts w:ascii="Times New Roman" w:hAnsi="Times New Roman" w:cs="Times New Roman"/>
          <w:b/>
          <w:bCs/>
          <w:highlight w:val="green"/>
        </w:rPr>
        <w:t xml:space="preserve">(primer </w:t>
      </w:r>
      <w:proofErr w:type="spellStart"/>
      <w:r w:rsidR="00AE71A4" w:rsidRPr="004F7C46">
        <w:rPr>
          <w:rFonts w:ascii="Times New Roman" w:hAnsi="Times New Roman" w:cs="Times New Roman"/>
          <w:b/>
          <w:bCs/>
          <w:highlight w:val="green"/>
        </w:rPr>
        <w:t>slide</w:t>
      </w:r>
      <w:proofErr w:type="spellEnd"/>
      <w:r w:rsidR="00AE71A4" w:rsidRPr="004F7C46">
        <w:rPr>
          <w:rFonts w:ascii="Times New Roman" w:hAnsi="Times New Roman" w:cs="Times New Roman"/>
          <w:b/>
          <w:bCs/>
          <w:highlight w:val="green"/>
        </w:rPr>
        <w:t>)</w:t>
      </w:r>
      <w:r w:rsidRPr="004F7C46">
        <w:rPr>
          <w:rFonts w:ascii="Times New Roman" w:hAnsi="Times New Roman" w:cs="Times New Roman"/>
          <w:b/>
          <w:bCs/>
          <w:highlight w:val="green"/>
        </w:rPr>
        <w:t>:</w:t>
      </w:r>
    </w:p>
    <w:p w:rsidR="000F74C9" w:rsidRPr="004F7C46" w:rsidRDefault="000F74C9" w:rsidP="004F7C46">
      <w:pPr>
        <w:spacing w:line="240" w:lineRule="auto"/>
        <w:rPr>
          <w:rFonts w:ascii="Times New Roman" w:hAnsi="Times New Roman" w:cs="Times New Roman"/>
          <w:color w:val="000000"/>
          <w:sz w:val="24"/>
          <w:szCs w:val="24"/>
          <w:lang w:eastAsia="es-ES"/>
        </w:rPr>
      </w:pPr>
      <w:r w:rsidRPr="004F7C46">
        <w:rPr>
          <w:rFonts w:ascii="Times New Roman" w:hAnsi="Times New Roman" w:cs="Times New Roman"/>
          <w:color w:val="000000"/>
          <w:sz w:val="24"/>
          <w:szCs w:val="24"/>
          <w:lang w:eastAsia="es-ES"/>
        </w:rPr>
        <w:t xml:space="preserve">Aunque muchos autores afirman que el grado de motivación de un colaborador </w:t>
      </w:r>
      <w:r w:rsidRPr="004F7C46">
        <w:rPr>
          <w:rFonts w:ascii="Times New Roman" w:hAnsi="Times New Roman" w:cs="Times New Roman"/>
          <w:sz w:val="24"/>
          <w:szCs w:val="24"/>
          <w:lang w:eastAsia="es-ES"/>
        </w:rPr>
        <w:t xml:space="preserve">determina </w:t>
      </w:r>
      <w:r w:rsidRPr="004F7C46">
        <w:rPr>
          <w:rFonts w:ascii="Times New Roman" w:hAnsi="Times New Roman" w:cs="Times New Roman"/>
          <w:color w:val="000000"/>
          <w:sz w:val="24"/>
          <w:szCs w:val="24"/>
          <w:lang w:eastAsia="es-ES"/>
        </w:rPr>
        <w:t xml:space="preserve">su desempeño en el trabajo, también es importante </w:t>
      </w:r>
      <w:r w:rsidRPr="004F7C46">
        <w:rPr>
          <w:rFonts w:ascii="Times New Roman" w:hAnsi="Times New Roman" w:cs="Times New Roman"/>
          <w:sz w:val="24"/>
          <w:szCs w:val="24"/>
          <w:lang w:eastAsia="es-ES"/>
        </w:rPr>
        <w:t xml:space="preserve">identificar </w:t>
      </w:r>
      <w:r w:rsidRPr="004F7C46">
        <w:rPr>
          <w:rFonts w:ascii="Times New Roman" w:hAnsi="Times New Roman" w:cs="Times New Roman"/>
          <w:color w:val="000000"/>
          <w:sz w:val="24"/>
          <w:szCs w:val="24"/>
          <w:lang w:eastAsia="es-ES"/>
        </w:rPr>
        <w:t xml:space="preserve">que frecuentemente no se trata de “colaboradores desmotivados” sino de personas cuya motivación no está correctamente encaminada para potenciar los objetivos de la empresa. </w:t>
      </w:r>
    </w:p>
    <w:p w:rsidR="000A6A4D" w:rsidRPr="004F7C46" w:rsidRDefault="000A6A4D" w:rsidP="004F7C46">
      <w:pPr>
        <w:spacing w:line="240" w:lineRule="auto"/>
        <w:rPr>
          <w:rFonts w:ascii="Times New Roman" w:hAnsi="Times New Roman" w:cs="Times New Roman"/>
          <w:color w:val="000000"/>
          <w:sz w:val="24"/>
          <w:szCs w:val="24"/>
          <w:lang w:eastAsia="es-ES"/>
        </w:rPr>
      </w:pPr>
      <w:r w:rsidRPr="004F7C46">
        <w:rPr>
          <w:rFonts w:ascii="Times New Roman" w:hAnsi="Times New Roman" w:cs="Times New Roman"/>
          <w:color w:val="000000"/>
          <w:sz w:val="24"/>
          <w:szCs w:val="24"/>
          <w:lang w:eastAsia="es-ES"/>
        </w:rPr>
        <w:t xml:space="preserve">Teniendo en cuenta que muchas de estas situaciones difícilmente llegan a ser verbalizadas por los trabajadores, un líder debe esforzarse por conocer los estados emocionales de su personal a través de la observación de sus comportamientos, tal como en los ejemplos </w:t>
      </w:r>
      <w:r w:rsidRPr="004F7C46">
        <w:rPr>
          <w:rFonts w:ascii="Times New Roman" w:hAnsi="Times New Roman" w:cs="Times New Roman"/>
          <w:sz w:val="24"/>
          <w:szCs w:val="24"/>
          <w:lang w:eastAsia="es-ES"/>
        </w:rPr>
        <w:t>anteriores. Y debe identificar cómo puede mejorar la motivación de su personal, pues es un error frecu</w:t>
      </w:r>
      <w:r w:rsidRPr="004F7C46">
        <w:rPr>
          <w:rFonts w:ascii="Times New Roman" w:hAnsi="Times New Roman" w:cs="Times New Roman"/>
          <w:color w:val="000000"/>
          <w:sz w:val="24"/>
          <w:szCs w:val="24"/>
          <w:lang w:eastAsia="es-ES"/>
        </w:rPr>
        <w:t xml:space="preserve">ente creer que una mejor retribución económica es la única forma de motivación que está al alcance de la organización. </w:t>
      </w:r>
    </w:p>
    <w:p w:rsidR="000A6A4D" w:rsidRPr="004F7C46" w:rsidRDefault="000A6A4D" w:rsidP="004F7C46">
      <w:pPr>
        <w:spacing w:line="240" w:lineRule="auto"/>
        <w:rPr>
          <w:rFonts w:ascii="Times New Roman" w:hAnsi="Times New Roman" w:cs="Times New Roman"/>
          <w:sz w:val="24"/>
          <w:szCs w:val="24"/>
          <w:lang w:eastAsia="es-ES"/>
        </w:rPr>
      </w:pPr>
      <w:r w:rsidRPr="004F7C46">
        <w:rPr>
          <w:rFonts w:ascii="Times New Roman" w:hAnsi="Times New Roman" w:cs="Times New Roman"/>
          <w:color w:val="000000"/>
          <w:sz w:val="24"/>
          <w:szCs w:val="24"/>
          <w:lang w:eastAsia="es-ES"/>
        </w:rPr>
        <w:t xml:space="preserve">Los seres humanos encuentran motivaciones de dos fuentes: internas y </w:t>
      </w:r>
      <w:r w:rsidRPr="004F7C46">
        <w:rPr>
          <w:rFonts w:ascii="Times New Roman" w:hAnsi="Times New Roman" w:cs="Times New Roman"/>
          <w:sz w:val="24"/>
          <w:szCs w:val="24"/>
          <w:lang w:eastAsia="es-ES"/>
        </w:rPr>
        <w:t xml:space="preserve">externas. En el siguiente cuadro comparativo, el líder de la alta gerencia aprenderá a diferenciar cada una de las motivaciones, y, mediante ejemplos prácticos, podrá aplicarlos en la organización. </w:t>
      </w:r>
    </w:p>
    <w:p w:rsidR="0066374B" w:rsidRPr="004F7C46" w:rsidRDefault="0066374B" w:rsidP="004F7C46">
      <w:pPr>
        <w:pStyle w:val="Prrafodelista"/>
        <w:tabs>
          <w:tab w:val="left" w:pos="284"/>
        </w:tabs>
        <w:spacing w:after="160"/>
        <w:ind w:left="0" w:right="-568"/>
        <w:rPr>
          <w:rFonts w:ascii="Times New Roman" w:hAnsi="Times New Roman" w:cs="Times New Roman"/>
          <w:lang w:val="es-CO" w:eastAsia="es-ES"/>
        </w:rPr>
      </w:pPr>
    </w:p>
    <w:p w:rsidR="009247A1" w:rsidRPr="004F7C46" w:rsidRDefault="009247A1" w:rsidP="004F7C46">
      <w:pPr>
        <w:pStyle w:val="Prrafodelista"/>
        <w:tabs>
          <w:tab w:val="left" w:pos="284"/>
          <w:tab w:val="left" w:pos="11010"/>
        </w:tabs>
        <w:spacing w:after="160"/>
        <w:ind w:left="0" w:right="-568"/>
        <w:rPr>
          <w:rFonts w:ascii="Times New Roman" w:hAnsi="Times New Roman" w:cs="Times New Roman"/>
          <w:highlight w:val="green"/>
          <w:lang w:val="es-ES" w:eastAsia="es-ES"/>
        </w:rPr>
      </w:pPr>
    </w:p>
    <w:p w:rsidR="007E614A" w:rsidRDefault="007E614A" w:rsidP="004F7C46">
      <w:pPr>
        <w:pStyle w:val="Prrafodelista"/>
        <w:tabs>
          <w:tab w:val="left" w:pos="284"/>
          <w:tab w:val="left" w:pos="11010"/>
        </w:tabs>
        <w:spacing w:after="160"/>
        <w:ind w:left="0" w:right="-568"/>
        <w:rPr>
          <w:rFonts w:ascii="Times New Roman" w:hAnsi="Times New Roman" w:cs="Times New Roman"/>
          <w:highlight w:val="green"/>
          <w:lang w:val="es-ES" w:eastAsia="es-ES"/>
        </w:rPr>
      </w:pPr>
      <w:r w:rsidRPr="004F7C46">
        <w:rPr>
          <w:rFonts w:ascii="Times New Roman" w:hAnsi="Times New Roman" w:cs="Times New Roman"/>
          <w:highlight w:val="green"/>
          <w:lang w:val="es-ES" w:eastAsia="es-ES"/>
        </w:rPr>
        <w:t xml:space="preserve">En el </w:t>
      </w:r>
      <w:proofErr w:type="spellStart"/>
      <w:r w:rsidRPr="004F7C46">
        <w:rPr>
          <w:rFonts w:ascii="Times New Roman" w:hAnsi="Times New Roman" w:cs="Times New Roman"/>
          <w:highlight w:val="green"/>
          <w:lang w:val="es-ES" w:eastAsia="es-ES"/>
        </w:rPr>
        <w:t>silide</w:t>
      </w:r>
      <w:proofErr w:type="spellEnd"/>
      <w:r w:rsidRPr="004F7C46">
        <w:rPr>
          <w:rFonts w:ascii="Times New Roman" w:hAnsi="Times New Roman" w:cs="Times New Roman"/>
          <w:highlight w:val="green"/>
          <w:lang w:val="es-ES" w:eastAsia="es-ES"/>
        </w:rPr>
        <w:t xml:space="preserve"> de introducción poner una imagen como la de la referencia</w:t>
      </w:r>
      <w:r w:rsidR="00CE2470">
        <w:rPr>
          <w:rFonts w:ascii="Times New Roman" w:hAnsi="Times New Roman" w:cs="Times New Roman"/>
          <w:highlight w:val="green"/>
          <w:lang w:val="es-ES" w:eastAsia="es-ES"/>
        </w:rPr>
        <w:t>:</w:t>
      </w:r>
    </w:p>
    <w:p w:rsidR="00CE2470" w:rsidRDefault="00CE2470" w:rsidP="004F7C46">
      <w:pPr>
        <w:pStyle w:val="Prrafodelista"/>
        <w:tabs>
          <w:tab w:val="left" w:pos="284"/>
          <w:tab w:val="left" w:pos="11010"/>
        </w:tabs>
        <w:spacing w:after="160"/>
        <w:ind w:left="0" w:right="-568"/>
        <w:rPr>
          <w:rFonts w:ascii="Times New Roman" w:hAnsi="Times New Roman" w:cs="Times New Roman"/>
          <w:highlight w:val="green"/>
          <w:lang w:val="es-ES" w:eastAsia="es-ES"/>
        </w:rPr>
      </w:pPr>
    </w:p>
    <w:p w:rsidR="00CE2470" w:rsidRPr="00CE2470" w:rsidRDefault="00CE2470" w:rsidP="004F7C46">
      <w:pPr>
        <w:pStyle w:val="Prrafodelista"/>
        <w:tabs>
          <w:tab w:val="left" w:pos="284"/>
          <w:tab w:val="left" w:pos="11010"/>
        </w:tabs>
        <w:spacing w:after="160"/>
        <w:ind w:left="0" w:right="-568"/>
        <w:rPr>
          <w:rFonts w:ascii="Times New Roman" w:hAnsi="Times New Roman" w:cs="Times New Roman"/>
          <w:highlight w:val="green"/>
          <w:lang w:val="es-ES" w:eastAsia="es-ES"/>
        </w:rPr>
      </w:pPr>
      <w:r>
        <w:rPr>
          <w:noProof/>
        </w:rPr>
        <w:lastRenderedPageBreak/>
        <w:drawing>
          <wp:inline distT="0" distB="0" distL="0" distR="0">
            <wp:extent cx="2619375" cy="2619375"/>
            <wp:effectExtent l="0" t="0" r="9525" b="9525"/>
            <wp:docPr id="7" name="Imagen 7" descr="Motivational  brochure creative desig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vational  brochure creative design vec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r w:rsidRPr="00CE2470">
        <w:t xml:space="preserve"> </w:t>
      </w:r>
      <w:r w:rsidRPr="00CE2470">
        <w:rPr>
          <w:rFonts w:ascii="Times New Roman" w:hAnsi="Times New Roman" w:cs="Times New Roman"/>
          <w:lang w:val="es-ES" w:eastAsia="es-ES"/>
        </w:rPr>
        <w:t>IST_19205_367384</w:t>
      </w:r>
    </w:p>
    <w:p w:rsidR="002B3491" w:rsidRPr="004F7C46" w:rsidRDefault="002B3491" w:rsidP="004F7C46">
      <w:pPr>
        <w:spacing w:line="24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528"/>
        <w:gridCol w:w="4529"/>
        <w:gridCol w:w="3939"/>
      </w:tblGrid>
      <w:tr w:rsidR="00DB7EE8" w:rsidRPr="004F7C46" w:rsidTr="00DB7EE8">
        <w:tc>
          <w:tcPr>
            <w:tcW w:w="4528" w:type="dxa"/>
            <w:shd w:val="clear" w:color="auto" w:fill="F4B083" w:themeFill="accent2" w:themeFillTint="99"/>
          </w:tcPr>
          <w:p w:rsidR="00DB7EE8" w:rsidRPr="004F7C46" w:rsidRDefault="00DB7EE8" w:rsidP="004F7C46">
            <w:pPr>
              <w:rPr>
                <w:rFonts w:ascii="Times New Roman" w:hAnsi="Times New Roman" w:cs="Times New Roman"/>
                <w:b/>
                <w:bCs/>
                <w:sz w:val="24"/>
                <w:szCs w:val="24"/>
                <w:highlight w:val="green"/>
              </w:rPr>
            </w:pPr>
            <w:r w:rsidRPr="004F7C46">
              <w:rPr>
                <w:rFonts w:ascii="Times New Roman" w:hAnsi="Times New Roman" w:cs="Times New Roman"/>
                <w:b/>
                <w:bCs/>
                <w:sz w:val="24"/>
                <w:szCs w:val="24"/>
              </w:rPr>
              <w:t xml:space="preserve">Motivación </w:t>
            </w:r>
            <w:r w:rsidR="004F7C46" w:rsidRPr="004F7C46">
              <w:rPr>
                <w:rFonts w:ascii="Times New Roman" w:hAnsi="Times New Roman" w:cs="Times New Roman"/>
                <w:b/>
                <w:bCs/>
                <w:sz w:val="24"/>
                <w:szCs w:val="24"/>
              </w:rPr>
              <w:t>(</w:t>
            </w:r>
            <w:r w:rsidR="004F7C46" w:rsidRPr="004F7C46">
              <w:rPr>
                <w:rFonts w:ascii="Times New Roman" w:hAnsi="Times New Roman" w:cs="Times New Roman"/>
                <w:b/>
                <w:bCs/>
                <w:sz w:val="24"/>
                <w:szCs w:val="24"/>
                <w:highlight w:val="green"/>
              </w:rPr>
              <w:t>botones principales)</w:t>
            </w:r>
          </w:p>
          <w:p w:rsidR="004F7C46" w:rsidRPr="004F7C46" w:rsidRDefault="004F7C46" w:rsidP="004F7C46">
            <w:pPr>
              <w:rPr>
                <w:rFonts w:ascii="Times New Roman" w:hAnsi="Times New Roman" w:cs="Times New Roman"/>
                <w:b/>
                <w:bCs/>
                <w:sz w:val="24"/>
                <w:szCs w:val="24"/>
              </w:rPr>
            </w:pPr>
            <w:r w:rsidRPr="004F7C46">
              <w:rPr>
                <w:rFonts w:ascii="Times New Roman" w:hAnsi="Times New Roman" w:cs="Times New Roman"/>
                <w:b/>
                <w:bCs/>
                <w:sz w:val="24"/>
                <w:szCs w:val="24"/>
                <w:highlight w:val="green"/>
              </w:rPr>
              <w:t>Al hacer clic en cada uno se va desplegando la información correspondiente</w:t>
            </w:r>
            <w:r w:rsidRPr="004F7C46">
              <w:rPr>
                <w:rFonts w:ascii="Times New Roman" w:hAnsi="Times New Roman" w:cs="Times New Roman"/>
                <w:b/>
                <w:bCs/>
                <w:sz w:val="24"/>
                <w:szCs w:val="24"/>
              </w:rPr>
              <w:t xml:space="preserve"> </w:t>
            </w:r>
          </w:p>
        </w:tc>
        <w:tc>
          <w:tcPr>
            <w:tcW w:w="4529" w:type="dxa"/>
            <w:shd w:val="clear" w:color="auto" w:fill="F4B083" w:themeFill="accent2" w:themeFillTint="99"/>
          </w:tcPr>
          <w:p w:rsidR="00DB7EE8" w:rsidRPr="005D2D6B" w:rsidRDefault="00DB7EE8" w:rsidP="004F7C46">
            <w:pPr>
              <w:rPr>
                <w:rFonts w:ascii="Times New Roman" w:hAnsi="Times New Roman" w:cs="Times New Roman"/>
                <w:b/>
                <w:bCs/>
                <w:sz w:val="24"/>
                <w:szCs w:val="24"/>
              </w:rPr>
            </w:pPr>
            <w:r w:rsidRPr="005D2D6B">
              <w:rPr>
                <w:rFonts w:ascii="Times New Roman" w:hAnsi="Times New Roman" w:cs="Times New Roman"/>
                <w:b/>
                <w:sz w:val="24"/>
                <w:szCs w:val="24"/>
                <w:lang w:val="es-419"/>
              </w:rPr>
              <w:t>Intrínseca (Interna)</w:t>
            </w:r>
          </w:p>
        </w:tc>
        <w:tc>
          <w:tcPr>
            <w:tcW w:w="3939" w:type="dxa"/>
            <w:shd w:val="clear" w:color="auto" w:fill="F4B083" w:themeFill="accent2" w:themeFillTint="99"/>
          </w:tcPr>
          <w:p w:rsidR="00DB7EE8" w:rsidRPr="005D2D6B" w:rsidRDefault="00DB7EE8" w:rsidP="004F7C46">
            <w:pPr>
              <w:rPr>
                <w:rFonts w:ascii="Times New Roman" w:hAnsi="Times New Roman" w:cs="Times New Roman"/>
                <w:b/>
                <w:bCs/>
                <w:sz w:val="24"/>
                <w:szCs w:val="24"/>
              </w:rPr>
            </w:pPr>
            <w:r w:rsidRPr="005D2D6B">
              <w:rPr>
                <w:rFonts w:ascii="Times New Roman" w:hAnsi="Times New Roman" w:cs="Times New Roman"/>
                <w:b/>
                <w:sz w:val="24"/>
                <w:szCs w:val="24"/>
                <w:lang w:val="es-419"/>
              </w:rPr>
              <w:t>Extrínseca (Externa)</w:t>
            </w:r>
          </w:p>
        </w:tc>
      </w:tr>
      <w:tr w:rsidR="00DB7EE8" w:rsidRPr="004F7C46" w:rsidTr="00DB7EE8">
        <w:tc>
          <w:tcPr>
            <w:tcW w:w="4528" w:type="dxa"/>
          </w:tcPr>
          <w:p w:rsidR="00DB7EE8" w:rsidRPr="004F7C46" w:rsidRDefault="00DB7EE8" w:rsidP="004F7C46">
            <w:pPr>
              <w:rPr>
                <w:rFonts w:ascii="Times New Roman" w:hAnsi="Times New Roman" w:cs="Times New Roman"/>
                <w:sz w:val="24"/>
                <w:szCs w:val="24"/>
                <w:highlight w:val="green"/>
              </w:rPr>
            </w:pPr>
          </w:p>
          <w:p w:rsidR="00DB7EE8" w:rsidRPr="004F7C46" w:rsidRDefault="00DB7EE8" w:rsidP="004F7C46">
            <w:pPr>
              <w:rPr>
                <w:rFonts w:ascii="Times New Roman" w:hAnsi="Times New Roman" w:cs="Times New Roman"/>
                <w:sz w:val="24"/>
                <w:szCs w:val="24"/>
                <w:highlight w:val="green"/>
              </w:rPr>
            </w:pPr>
            <w:r w:rsidRPr="004F7C46">
              <w:rPr>
                <w:rFonts w:ascii="Times New Roman" w:hAnsi="Times New Roman" w:cs="Times New Roman"/>
                <w:sz w:val="24"/>
                <w:szCs w:val="24"/>
                <w:highlight w:val="green"/>
              </w:rPr>
              <w:t xml:space="preserve">Definición </w:t>
            </w:r>
          </w:p>
          <w:p w:rsidR="00DB7EE8" w:rsidRPr="004F7C46" w:rsidRDefault="00DB7EE8" w:rsidP="004F7C46">
            <w:pPr>
              <w:rPr>
                <w:rFonts w:ascii="Times New Roman" w:hAnsi="Times New Roman" w:cs="Times New Roman"/>
                <w:sz w:val="24"/>
                <w:szCs w:val="24"/>
                <w:highlight w:val="green"/>
              </w:rPr>
            </w:pPr>
          </w:p>
        </w:tc>
        <w:tc>
          <w:tcPr>
            <w:tcW w:w="4529" w:type="dxa"/>
          </w:tcPr>
          <w:p w:rsidR="00DB7EE8" w:rsidRPr="004F7C46" w:rsidRDefault="00DB7EE8" w:rsidP="004F7C46">
            <w:pPr>
              <w:rPr>
                <w:rFonts w:ascii="Times New Roman" w:hAnsi="Times New Roman" w:cs="Times New Roman"/>
                <w:sz w:val="24"/>
                <w:szCs w:val="24"/>
              </w:rPr>
            </w:pPr>
            <w:r w:rsidRPr="004F7C46">
              <w:rPr>
                <w:rFonts w:ascii="Times New Roman" w:hAnsi="Times New Roman" w:cs="Times New Roman"/>
                <w:sz w:val="24"/>
                <w:szCs w:val="24"/>
                <w:lang w:val="es-419"/>
              </w:rPr>
              <w:t>La que proviene del interior del individuo, las recompensas son personales.</w:t>
            </w:r>
          </w:p>
        </w:tc>
        <w:tc>
          <w:tcPr>
            <w:tcW w:w="3939" w:type="dxa"/>
          </w:tcPr>
          <w:p w:rsidR="00DB7EE8" w:rsidRPr="004F7C46" w:rsidRDefault="00DB7EE8" w:rsidP="004F7C46">
            <w:pPr>
              <w:rPr>
                <w:rFonts w:ascii="Times New Roman" w:hAnsi="Times New Roman" w:cs="Times New Roman"/>
                <w:sz w:val="24"/>
                <w:szCs w:val="24"/>
              </w:rPr>
            </w:pPr>
            <w:r w:rsidRPr="004F7C46">
              <w:rPr>
                <w:rFonts w:ascii="Times New Roman" w:hAnsi="Times New Roman" w:cs="Times New Roman"/>
                <w:sz w:val="24"/>
                <w:szCs w:val="24"/>
                <w:lang w:val="es-419"/>
              </w:rPr>
              <w:t>La que proviene de fuera del individuo, las recompensas son externas.</w:t>
            </w:r>
          </w:p>
        </w:tc>
      </w:tr>
      <w:tr w:rsidR="00DB7EE8" w:rsidRPr="004F7C46" w:rsidTr="00DB7EE8">
        <w:tc>
          <w:tcPr>
            <w:tcW w:w="4528" w:type="dxa"/>
          </w:tcPr>
          <w:p w:rsidR="00DB7EE8" w:rsidRPr="004F7C46" w:rsidRDefault="00DB7EE8" w:rsidP="004F7C46">
            <w:pPr>
              <w:rPr>
                <w:rFonts w:ascii="Times New Roman" w:hAnsi="Times New Roman" w:cs="Times New Roman"/>
                <w:sz w:val="24"/>
                <w:szCs w:val="24"/>
                <w:highlight w:val="green"/>
              </w:rPr>
            </w:pPr>
            <w:r w:rsidRPr="004F7C46">
              <w:rPr>
                <w:rFonts w:ascii="Times New Roman" w:hAnsi="Times New Roman" w:cs="Times New Roman"/>
                <w:sz w:val="24"/>
                <w:szCs w:val="24"/>
                <w:highlight w:val="green"/>
                <w:lang w:val="es-419"/>
              </w:rPr>
              <w:t>Características</w:t>
            </w:r>
          </w:p>
        </w:tc>
        <w:tc>
          <w:tcPr>
            <w:tcW w:w="4529" w:type="dxa"/>
          </w:tcPr>
          <w:p w:rsidR="00DB7EE8" w:rsidRPr="004F7C46" w:rsidRDefault="00DB7EE8" w:rsidP="004F7C46">
            <w:pPr>
              <w:pStyle w:val="Piedepgina"/>
              <w:rPr>
                <w:rFonts w:ascii="Times New Roman" w:hAnsi="Times New Roman" w:cs="Times New Roman"/>
                <w:lang w:val="es-419"/>
              </w:rPr>
            </w:pPr>
            <w:r w:rsidRPr="004F7C46">
              <w:rPr>
                <w:rFonts w:ascii="Times New Roman" w:hAnsi="Times New Roman" w:cs="Times New Roman"/>
                <w:lang w:val="es-419"/>
              </w:rPr>
              <w:t>Son más difíciles de intervenir por otra persona: un tercero puede potenciar motivaciones internas, pero difícilmente cambiarlas.</w:t>
            </w:r>
          </w:p>
          <w:p w:rsidR="00DB7EE8" w:rsidRPr="004F7C46" w:rsidRDefault="00DB7EE8" w:rsidP="004F7C46">
            <w:pPr>
              <w:pStyle w:val="Piedepgina"/>
              <w:rPr>
                <w:rFonts w:ascii="Times New Roman" w:hAnsi="Times New Roman" w:cs="Times New Roman"/>
                <w:lang w:val="es-419"/>
              </w:rPr>
            </w:pPr>
            <w:r w:rsidRPr="004F7C46">
              <w:rPr>
                <w:rFonts w:ascii="Times New Roman" w:hAnsi="Times New Roman" w:cs="Times New Roman"/>
                <w:lang w:val="es-419"/>
              </w:rPr>
              <w:t>Son más o menos estables en el tiempo, pero pueden cambiar con las experiencias y el curso de la vida del individuo.</w:t>
            </w:r>
          </w:p>
          <w:p w:rsidR="00DB7EE8" w:rsidRPr="004F7C46" w:rsidRDefault="00DB7EE8" w:rsidP="004F7C46">
            <w:pPr>
              <w:rPr>
                <w:rFonts w:ascii="Times New Roman" w:hAnsi="Times New Roman" w:cs="Times New Roman"/>
                <w:sz w:val="24"/>
                <w:szCs w:val="24"/>
                <w:lang w:val="es-419"/>
              </w:rPr>
            </w:pPr>
          </w:p>
        </w:tc>
        <w:tc>
          <w:tcPr>
            <w:tcW w:w="3939" w:type="dxa"/>
          </w:tcPr>
          <w:p w:rsidR="00DB7EE8" w:rsidRPr="004F7C46" w:rsidRDefault="00DB7EE8" w:rsidP="004F7C46">
            <w:pPr>
              <w:rPr>
                <w:rFonts w:ascii="Times New Roman" w:hAnsi="Times New Roman" w:cs="Times New Roman"/>
                <w:sz w:val="24"/>
                <w:szCs w:val="24"/>
                <w:lang w:val="es-419"/>
              </w:rPr>
            </w:pPr>
            <w:r w:rsidRPr="004F7C46">
              <w:rPr>
                <w:rFonts w:ascii="Times New Roman" w:hAnsi="Times New Roman" w:cs="Times New Roman"/>
                <w:sz w:val="24"/>
                <w:szCs w:val="24"/>
                <w:lang w:val="es-419"/>
              </w:rPr>
              <w:lastRenderedPageBreak/>
              <w:t>Son más fáciles de intervenir por otra persona: un tercero ofrece una recompensa o la supresión de una sanción.</w:t>
            </w:r>
          </w:p>
          <w:p w:rsidR="00DB7EE8" w:rsidRPr="004F7C46" w:rsidRDefault="00DB7EE8" w:rsidP="004F7C46">
            <w:pPr>
              <w:rPr>
                <w:rFonts w:ascii="Times New Roman" w:hAnsi="Times New Roman" w:cs="Times New Roman"/>
                <w:sz w:val="24"/>
                <w:szCs w:val="24"/>
                <w:lang w:val="es-419"/>
              </w:rPr>
            </w:pPr>
          </w:p>
          <w:p w:rsidR="00DB7EE8" w:rsidRPr="004F7C46" w:rsidRDefault="00DB7EE8" w:rsidP="004F7C46">
            <w:pPr>
              <w:rPr>
                <w:rFonts w:ascii="Times New Roman" w:hAnsi="Times New Roman" w:cs="Times New Roman"/>
                <w:sz w:val="24"/>
                <w:szCs w:val="24"/>
                <w:lang w:val="es-419"/>
              </w:rPr>
            </w:pPr>
          </w:p>
          <w:p w:rsidR="00F361C2" w:rsidRPr="004F7C46" w:rsidRDefault="00F361C2" w:rsidP="004F7C46">
            <w:pPr>
              <w:rPr>
                <w:rFonts w:ascii="Times New Roman" w:hAnsi="Times New Roman" w:cs="Times New Roman"/>
                <w:sz w:val="24"/>
                <w:szCs w:val="24"/>
              </w:rPr>
            </w:pPr>
            <w:r w:rsidRPr="004F7C46">
              <w:rPr>
                <w:rFonts w:ascii="Times New Roman" w:hAnsi="Times New Roman" w:cs="Times New Roman"/>
                <w:sz w:val="24"/>
                <w:szCs w:val="24"/>
                <w:lang w:val="es-419"/>
              </w:rPr>
              <w:lastRenderedPageBreak/>
              <w:t>Son de corto plazo: pueden resultar muy motivantes o no según el momento de la vida de cada persona.</w:t>
            </w:r>
          </w:p>
        </w:tc>
      </w:tr>
      <w:tr w:rsidR="00DB7EE8" w:rsidRPr="004F7C46" w:rsidTr="00DB7EE8">
        <w:tc>
          <w:tcPr>
            <w:tcW w:w="4528" w:type="dxa"/>
          </w:tcPr>
          <w:p w:rsidR="00DB7EE8" w:rsidRPr="004F7C46" w:rsidRDefault="00F361C2" w:rsidP="004F7C46">
            <w:pPr>
              <w:rPr>
                <w:rFonts w:ascii="Times New Roman" w:hAnsi="Times New Roman" w:cs="Times New Roman"/>
                <w:sz w:val="24"/>
                <w:szCs w:val="24"/>
              </w:rPr>
            </w:pPr>
            <w:r w:rsidRPr="004F7C46">
              <w:rPr>
                <w:rFonts w:ascii="Times New Roman" w:hAnsi="Times New Roman" w:cs="Times New Roman"/>
                <w:sz w:val="24"/>
                <w:szCs w:val="24"/>
                <w:highlight w:val="green"/>
              </w:rPr>
              <w:lastRenderedPageBreak/>
              <w:t>Ejemplo</w:t>
            </w:r>
            <w:r w:rsidRPr="004F7C46">
              <w:rPr>
                <w:rFonts w:ascii="Times New Roman" w:hAnsi="Times New Roman" w:cs="Times New Roman"/>
                <w:sz w:val="24"/>
                <w:szCs w:val="24"/>
              </w:rPr>
              <w:t xml:space="preserve"> </w:t>
            </w:r>
          </w:p>
        </w:tc>
        <w:tc>
          <w:tcPr>
            <w:tcW w:w="4529" w:type="dxa"/>
          </w:tcPr>
          <w:p w:rsidR="00F361C2" w:rsidRPr="004F7C46" w:rsidRDefault="00F361C2" w:rsidP="004F7C46">
            <w:pPr>
              <w:pStyle w:val="Piedepgina"/>
              <w:numPr>
                <w:ilvl w:val="0"/>
                <w:numId w:val="4"/>
              </w:numPr>
              <w:ind w:left="162" w:hanging="142"/>
              <w:rPr>
                <w:rFonts w:ascii="Times New Roman" w:hAnsi="Times New Roman" w:cs="Times New Roman"/>
                <w:lang w:val="es-419"/>
              </w:rPr>
            </w:pPr>
            <w:r w:rsidRPr="004F7C46">
              <w:rPr>
                <w:rFonts w:ascii="Times New Roman" w:hAnsi="Times New Roman" w:cs="Times New Roman"/>
                <w:lang w:val="es-419"/>
              </w:rPr>
              <w:t>Autoestima / Autoeficacia</w:t>
            </w:r>
          </w:p>
          <w:p w:rsidR="00F361C2" w:rsidRPr="004F7C46" w:rsidRDefault="00F361C2" w:rsidP="004F7C46">
            <w:pPr>
              <w:pStyle w:val="Piedepgina"/>
              <w:numPr>
                <w:ilvl w:val="0"/>
                <w:numId w:val="4"/>
              </w:numPr>
              <w:ind w:left="162" w:hanging="142"/>
              <w:rPr>
                <w:rFonts w:ascii="Times New Roman" w:hAnsi="Times New Roman" w:cs="Times New Roman"/>
                <w:lang w:val="es-419"/>
              </w:rPr>
            </w:pPr>
            <w:r w:rsidRPr="004F7C46">
              <w:rPr>
                <w:rFonts w:ascii="Times New Roman" w:hAnsi="Times New Roman" w:cs="Times New Roman"/>
                <w:lang w:val="es-419"/>
              </w:rPr>
              <w:t>Satisfacción Personal</w:t>
            </w:r>
          </w:p>
          <w:p w:rsidR="00F361C2" w:rsidRPr="004F7C46" w:rsidRDefault="00F361C2" w:rsidP="004F7C46">
            <w:pPr>
              <w:pStyle w:val="Piedepgina"/>
              <w:numPr>
                <w:ilvl w:val="0"/>
                <w:numId w:val="4"/>
              </w:numPr>
              <w:ind w:left="162" w:hanging="142"/>
              <w:rPr>
                <w:rFonts w:ascii="Times New Roman" w:hAnsi="Times New Roman" w:cs="Times New Roman"/>
                <w:lang w:val="es-419"/>
              </w:rPr>
            </w:pPr>
            <w:r w:rsidRPr="004F7C46">
              <w:rPr>
                <w:rFonts w:ascii="Times New Roman" w:hAnsi="Times New Roman" w:cs="Times New Roman"/>
                <w:lang w:val="es-419"/>
              </w:rPr>
              <w:t>Convicciones/Valores</w:t>
            </w:r>
          </w:p>
          <w:p w:rsidR="00DB7EE8" w:rsidRPr="004F7C46" w:rsidRDefault="00F361C2" w:rsidP="004F7C46">
            <w:pPr>
              <w:rPr>
                <w:rFonts w:ascii="Times New Roman" w:hAnsi="Times New Roman" w:cs="Times New Roman"/>
                <w:sz w:val="24"/>
                <w:szCs w:val="24"/>
              </w:rPr>
            </w:pPr>
            <w:r w:rsidRPr="004F7C46">
              <w:rPr>
                <w:rFonts w:ascii="Times New Roman" w:hAnsi="Times New Roman" w:cs="Times New Roman"/>
                <w:sz w:val="24"/>
                <w:szCs w:val="24"/>
                <w:lang w:val="es-419"/>
              </w:rPr>
              <w:t>Gustos</w:t>
            </w:r>
          </w:p>
        </w:tc>
        <w:tc>
          <w:tcPr>
            <w:tcW w:w="3939" w:type="dxa"/>
          </w:tcPr>
          <w:p w:rsidR="00F361C2" w:rsidRPr="004F7C46" w:rsidRDefault="00F361C2" w:rsidP="004F7C46">
            <w:pPr>
              <w:pStyle w:val="Piedepgina"/>
              <w:numPr>
                <w:ilvl w:val="0"/>
                <w:numId w:val="5"/>
              </w:numPr>
              <w:ind w:left="162" w:hanging="142"/>
              <w:rPr>
                <w:rFonts w:ascii="Times New Roman" w:hAnsi="Times New Roman" w:cs="Times New Roman"/>
                <w:lang w:val="es-419"/>
              </w:rPr>
            </w:pPr>
            <w:r w:rsidRPr="004F7C46">
              <w:rPr>
                <w:rFonts w:ascii="Times New Roman" w:hAnsi="Times New Roman" w:cs="Times New Roman"/>
                <w:lang w:val="es-419"/>
              </w:rPr>
              <w:t>Dinero</w:t>
            </w:r>
          </w:p>
          <w:p w:rsidR="00F361C2" w:rsidRPr="004F7C46" w:rsidRDefault="00F361C2" w:rsidP="004F7C46">
            <w:pPr>
              <w:pStyle w:val="Piedepgina"/>
              <w:numPr>
                <w:ilvl w:val="0"/>
                <w:numId w:val="5"/>
              </w:numPr>
              <w:ind w:left="162" w:hanging="142"/>
              <w:rPr>
                <w:rFonts w:ascii="Times New Roman" w:hAnsi="Times New Roman" w:cs="Times New Roman"/>
                <w:lang w:val="es-419"/>
              </w:rPr>
            </w:pPr>
            <w:r w:rsidRPr="004F7C46">
              <w:rPr>
                <w:rFonts w:ascii="Times New Roman" w:hAnsi="Times New Roman" w:cs="Times New Roman"/>
                <w:lang w:val="es-419"/>
              </w:rPr>
              <w:t>Ascensos</w:t>
            </w:r>
          </w:p>
          <w:p w:rsidR="00DB7EE8" w:rsidRPr="004F7C46" w:rsidRDefault="00F361C2" w:rsidP="004F7C46">
            <w:pPr>
              <w:rPr>
                <w:rFonts w:ascii="Times New Roman" w:hAnsi="Times New Roman" w:cs="Times New Roman"/>
                <w:sz w:val="24"/>
                <w:szCs w:val="24"/>
              </w:rPr>
            </w:pPr>
            <w:r w:rsidRPr="004F7C46">
              <w:rPr>
                <w:rFonts w:ascii="Times New Roman" w:hAnsi="Times New Roman" w:cs="Times New Roman"/>
                <w:sz w:val="24"/>
                <w:szCs w:val="24"/>
                <w:lang w:val="es-419"/>
              </w:rPr>
              <w:t>Premios / Evitar Sanciones</w:t>
            </w:r>
          </w:p>
        </w:tc>
      </w:tr>
      <w:tr w:rsidR="004F7C46" w:rsidRPr="004F7C46" w:rsidTr="00DB7EE8">
        <w:tc>
          <w:tcPr>
            <w:tcW w:w="4528" w:type="dxa"/>
            <w:vMerge w:val="restart"/>
          </w:tcPr>
          <w:p w:rsidR="004F7C46" w:rsidRPr="004F7C46" w:rsidRDefault="004F7C46" w:rsidP="004F7C46">
            <w:pPr>
              <w:rPr>
                <w:rFonts w:ascii="Times New Roman" w:hAnsi="Times New Roman" w:cs="Times New Roman"/>
                <w:b/>
                <w:bCs/>
                <w:sz w:val="24"/>
                <w:szCs w:val="24"/>
              </w:rPr>
            </w:pPr>
            <w:r w:rsidRPr="004F7C46">
              <w:rPr>
                <w:rFonts w:ascii="Times New Roman" w:hAnsi="Times New Roman" w:cs="Times New Roman"/>
                <w:b/>
                <w:bCs/>
                <w:sz w:val="24"/>
                <w:szCs w:val="24"/>
                <w:highlight w:val="green"/>
                <w:lang w:val="es-419"/>
              </w:rPr>
              <w:t>Aplicación Práctica</w:t>
            </w:r>
          </w:p>
        </w:tc>
        <w:tc>
          <w:tcPr>
            <w:tcW w:w="4529" w:type="dxa"/>
          </w:tcPr>
          <w:p w:rsidR="004F7C46" w:rsidRPr="004F7C46" w:rsidRDefault="004F7C46" w:rsidP="004F7C46">
            <w:pPr>
              <w:pStyle w:val="Piedepgina"/>
              <w:numPr>
                <w:ilvl w:val="0"/>
                <w:numId w:val="5"/>
              </w:numPr>
              <w:ind w:left="162" w:hanging="142"/>
              <w:rPr>
                <w:rFonts w:ascii="Times New Roman" w:hAnsi="Times New Roman" w:cs="Times New Roman"/>
                <w:lang w:val="es-419"/>
              </w:rPr>
            </w:pPr>
            <w:r w:rsidRPr="004F7C46">
              <w:rPr>
                <w:rFonts w:ascii="Times New Roman" w:hAnsi="Times New Roman" w:cs="Times New Roman"/>
                <w:b/>
                <w:lang w:val="es-419"/>
              </w:rPr>
              <w:t>Programas de Formación y Capacitación.</w:t>
            </w:r>
            <w:r w:rsidRPr="004F7C46">
              <w:rPr>
                <w:rFonts w:ascii="Times New Roman" w:hAnsi="Times New Roman" w:cs="Times New Roman"/>
                <w:lang w:val="es-419"/>
              </w:rPr>
              <w:t xml:space="preserve"> Ofrecer oportunidades para que los trabajadores amplíen sus conocimientos en cualquier área satisface expectativas de desarrollo personal y profesional. Cuando los programas se orientan a competencias laborales, esto se verá retribuido en mejor desempeño y calidad del trabajo.</w:t>
            </w:r>
          </w:p>
          <w:p w:rsidR="004F7C46" w:rsidRPr="004F7C46" w:rsidRDefault="004F7C46" w:rsidP="004F7C46">
            <w:pPr>
              <w:rPr>
                <w:rFonts w:ascii="Times New Roman" w:hAnsi="Times New Roman" w:cs="Times New Roman"/>
                <w:sz w:val="24"/>
                <w:szCs w:val="24"/>
                <w:lang w:val="es-419"/>
              </w:rPr>
            </w:pPr>
          </w:p>
        </w:tc>
        <w:tc>
          <w:tcPr>
            <w:tcW w:w="3939" w:type="dxa"/>
          </w:tcPr>
          <w:p w:rsidR="004F7C46" w:rsidRPr="004F7C46" w:rsidRDefault="004F7C46" w:rsidP="004F7C46">
            <w:pPr>
              <w:rPr>
                <w:rFonts w:ascii="Times New Roman" w:hAnsi="Times New Roman" w:cs="Times New Roman"/>
                <w:sz w:val="24"/>
                <w:szCs w:val="24"/>
                <w:lang w:val="es-419"/>
              </w:rPr>
            </w:pPr>
            <w:r w:rsidRPr="004F7C46">
              <w:rPr>
                <w:rFonts w:ascii="Times New Roman" w:hAnsi="Times New Roman" w:cs="Times New Roman"/>
                <w:b/>
                <w:sz w:val="24"/>
                <w:szCs w:val="24"/>
                <w:lang w:val="es-419"/>
              </w:rPr>
              <w:t xml:space="preserve">Incentivos por desempeño. </w:t>
            </w:r>
            <w:r w:rsidRPr="004F7C46">
              <w:rPr>
                <w:rFonts w:ascii="Times New Roman" w:hAnsi="Times New Roman" w:cs="Times New Roman"/>
                <w:sz w:val="24"/>
                <w:szCs w:val="24"/>
                <w:lang w:val="es-419"/>
              </w:rPr>
              <w:t>Ofrecer estímulos económicos, bonificaciones, actividades recreativas o tiempo libre favorece la motivación, teniendo en cuenta que algunos estímulos serán más atractivos que otros según la persona. Sin embargo, la percepción de justicia en torno a este sistema puede obstruir los objetivos generando un ambiente de competencia y hostilidad</w:t>
            </w:r>
          </w:p>
          <w:p w:rsidR="004F7C46" w:rsidRPr="004F7C46" w:rsidRDefault="004F7C46" w:rsidP="004F7C46">
            <w:pPr>
              <w:rPr>
                <w:rFonts w:ascii="Times New Roman" w:hAnsi="Times New Roman" w:cs="Times New Roman"/>
                <w:sz w:val="24"/>
                <w:szCs w:val="24"/>
              </w:rPr>
            </w:pPr>
          </w:p>
        </w:tc>
      </w:tr>
      <w:tr w:rsidR="004F7C46" w:rsidRPr="004F7C46" w:rsidTr="00DB7EE8">
        <w:tc>
          <w:tcPr>
            <w:tcW w:w="4528" w:type="dxa"/>
            <w:vMerge/>
          </w:tcPr>
          <w:p w:rsidR="004F7C46" w:rsidRPr="004F7C46" w:rsidRDefault="004F7C46" w:rsidP="004F7C46">
            <w:pPr>
              <w:rPr>
                <w:rFonts w:ascii="Times New Roman" w:hAnsi="Times New Roman" w:cs="Times New Roman"/>
                <w:sz w:val="24"/>
                <w:szCs w:val="24"/>
              </w:rPr>
            </w:pPr>
          </w:p>
        </w:tc>
        <w:tc>
          <w:tcPr>
            <w:tcW w:w="4529" w:type="dxa"/>
          </w:tcPr>
          <w:p w:rsidR="004F7C46" w:rsidRPr="004F7C46" w:rsidRDefault="004F7C46" w:rsidP="004F7C46">
            <w:pPr>
              <w:rPr>
                <w:rFonts w:ascii="Times New Roman" w:hAnsi="Times New Roman" w:cs="Times New Roman"/>
                <w:sz w:val="24"/>
                <w:szCs w:val="24"/>
              </w:rPr>
            </w:pPr>
            <w:r w:rsidRPr="004F7C46">
              <w:rPr>
                <w:rFonts w:ascii="Times New Roman" w:hAnsi="Times New Roman" w:cs="Times New Roman"/>
                <w:b/>
                <w:sz w:val="24"/>
                <w:szCs w:val="24"/>
                <w:lang w:val="es-419"/>
              </w:rPr>
              <w:t>Planes de Responsabilidad Social Empresarial.</w:t>
            </w:r>
            <w:r w:rsidRPr="004F7C46">
              <w:rPr>
                <w:rFonts w:ascii="Times New Roman" w:hAnsi="Times New Roman" w:cs="Times New Roman"/>
                <w:sz w:val="24"/>
                <w:szCs w:val="24"/>
                <w:lang w:val="es-419"/>
              </w:rPr>
              <w:t xml:space="preserve"> Los proyectos para mejorar el medio ambiente, promover justicia social o apoyar a los menos favorecidos suelen ir en consonancia con los valores de los trabajadores, favoreciendo el orgullo y sentido de pertenencia a la organización</w:t>
            </w:r>
          </w:p>
        </w:tc>
        <w:tc>
          <w:tcPr>
            <w:tcW w:w="3939" w:type="dxa"/>
          </w:tcPr>
          <w:p w:rsidR="004F7C46" w:rsidRPr="004F7C46" w:rsidRDefault="004F7C46" w:rsidP="004F7C46">
            <w:pPr>
              <w:rPr>
                <w:rFonts w:ascii="Times New Roman" w:hAnsi="Times New Roman" w:cs="Times New Roman"/>
                <w:sz w:val="24"/>
                <w:szCs w:val="24"/>
                <w:lang w:val="es-419"/>
              </w:rPr>
            </w:pPr>
            <w:r w:rsidRPr="004F7C46">
              <w:rPr>
                <w:rFonts w:ascii="Times New Roman" w:hAnsi="Times New Roman" w:cs="Times New Roman"/>
                <w:b/>
                <w:sz w:val="24"/>
                <w:szCs w:val="24"/>
                <w:lang w:val="es-419"/>
              </w:rPr>
              <w:t>Promoción laboral.</w:t>
            </w:r>
            <w:r w:rsidRPr="004F7C46">
              <w:rPr>
                <w:rFonts w:ascii="Times New Roman" w:hAnsi="Times New Roman" w:cs="Times New Roman"/>
                <w:sz w:val="24"/>
                <w:szCs w:val="24"/>
                <w:lang w:val="es-419"/>
              </w:rPr>
              <w:t xml:space="preserve"> Esta vía permite el reconocimiento a un buen trabajo, pero para que sea efectivo no sólo debe asegurar un mejor salario sino garantizar mejores condiciones laborales. Al igual que el anterior, su éxito depende de la percepción de justicia que se tenga en torno al método empleado.</w:t>
            </w:r>
          </w:p>
          <w:p w:rsidR="004F7C46" w:rsidRPr="004F7C46" w:rsidRDefault="004F7C46" w:rsidP="004F7C46">
            <w:pPr>
              <w:rPr>
                <w:rFonts w:ascii="Times New Roman" w:hAnsi="Times New Roman" w:cs="Times New Roman"/>
                <w:sz w:val="24"/>
                <w:szCs w:val="24"/>
              </w:rPr>
            </w:pPr>
            <w:r w:rsidRPr="004F7C46">
              <w:rPr>
                <w:rFonts w:ascii="Times New Roman" w:hAnsi="Times New Roman" w:cs="Times New Roman"/>
                <w:sz w:val="24"/>
                <w:szCs w:val="24"/>
                <w:lang w:val="es-419"/>
              </w:rPr>
              <w:t xml:space="preserve">Este plan tiene limitaciones relacionadas con la estructura de la organización, pues eventualmente no </w:t>
            </w:r>
            <w:r w:rsidRPr="004F7C46">
              <w:rPr>
                <w:rFonts w:ascii="Times New Roman" w:hAnsi="Times New Roman" w:cs="Times New Roman"/>
                <w:sz w:val="24"/>
                <w:szCs w:val="24"/>
                <w:lang w:val="es-419"/>
              </w:rPr>
              <w:lastRenderedPageBreak/>
              <w:t>todos los trabajadores podrán llegar al tope de la pirámide —cargos directivos.</w:t>
            </w:r>
          </w:p>
        </w:tc>
      </w:tr>
      <w:tr w:rsidR="004F7C46" w:rsidRPr="004F7C46" w:rsidTr="00DB7EE8">
        <w:tc>
          <w:tcPr>
            <w:tcW w:w="4528" w:type="dxa"/>
            <w:vMerge/>
          </w:tcPr>
          <w:p w:rsidR="004F7C46" w:rsidRPr="004F7C46" w:rsidRDefault="004F7C46" w:rsidP="004F7C46">
            <w:pPr>
              <w:rPr>
                <w:rFonts w:ascii="Times New Roman" w:hAnsi="Times New Roman" w:cs="Times New Roman"/>
                <w:sz w:val="24"/>
                <w:szCs w:val="24"/>
              </w:rPr>
            </w:pPr>
          </w:p>
        </w:tc>
        <w:tc>
          <w:tcPr>
            <w:tcW w:w="4529" w:type="dxa"/>
          </w:tcPr>
          <w:p w:rsidR="004F7C46" w:rsidRPr="004F7C46" w:rsidRDefault="004F7C46" w:rsidP="004F7C46">
            <w:pPr>
              <w:rPr>
                <w:rFonts w:ascii="Times New Roman" w:hAnsi="Times New Roman" w:cs="Times New Roman"/>
                <w:sz w:val="24"/>
                <w:szCs w:val="24"/>
              </w:rPr>
            </w:pPr>
            <w:r w:rsidRPr="004F7C46">
              <w:rPr>
                <w:rFonts w:ascii="Times New Roman" w:hAnsi="Times New Roman" w:cs="Times New Roman"/>
                <w:b/>
                <w:sz w:val="24"/>
                <w:szCs w:val="24"/>
                <w:lang w:val="es-419"/>
              </w:rPr>
              <w:t>Cuidar el bienestar y la salud de los trabajadores.</w:t>
            </w:r>
            <w:r w:rsidRPr="004F7C46">
              <w:rPr>
                <w:rFonts w:ascii="Times New Roman" w:hAnsi="Times New Roman" w:cs="Times New Roman"/>
                <w:sz w:val="24"/>
                <w:szCs w:val="24"/>
                <w:lang w:val="es-419"/>
              </w:rPr>
              <w:t xml:space="preserve"> Proporcionar un entorno de trabajo agradable y con condiciones de limpieza y seguridad permite satisfacer necesidades básicas de los colaboradores, pero además favorece que el trabajador se sienta valioso para la organización.</w:t>
            </w:r>
          </w:p>
        </w:tc>
        <w:tc>
          <w:tcPr>
            <w:tcW w:w="3939" w:type="dxa"/>
          </w:tcPr>
          <w:p w:rsidR="004F7C46" w:rsidRPr="004F7C46" w:rsidRDefault="004F7C46" w:rsidP="004F7C46">
            <w:pPr>
              <w:rPr>
                <w:rFonts w:ascii="Times New Roman" w:hAnsi="Times New Roman" w:cs="Times New Roman"/>
                <w:sz w:val="24"/>
                <w:szCs w:val="24"/>
              </w:rPr>
            </w:pPr>
          </w:p>
        </w:tc>
      </w:tr>
      <w:tr w:rsidR="00B13953" w:rsidRPr="004F7C46" w:rsidTr="00177648">
        <w:tc>
          <w:tcPr>
            <w:tcW w:w="4528" w:type="dxa"/>
          </w:tcPr>
          <w:p w:rsidR="00B13953" w:rsidRPr="00B13953" w:rsidRDefault="00B13953" w:rsidP="004F7C46">
            <w:pPr>
              <w:rPr>
                <w:rFonts w:ascii="Times New Roman" w:hAnsi="Times New Roman" w:cs="Times New Roman"/>
                <w:b/>
                <w:bCs/>
                <w:sz w:val="24"/>
                <w:szCs w:val="24"/>
              </w:rPr>
            </w:pPr>
            <w:r w:rsidRPr="00B13953">
              <w:rPr>
                <w:rFonts w:ascii="Times New Roman" w:hAnsi="Times New Roman" w:cs="Times New Roman"/>
                <w:b/>
                <w:bCs/>
                <w:sz w:val="24"/>
                <w:szCs w:val="24"/>
              </w:rPr>
              <w:t xml:space="preserve"> </w:t>
            </w:r>
            <w:r w:rsidRPr="00B13953">
              <w:rPr>
                <w:rFonts w:ascii="Times New Roman" w:hAnsi="Times New Roman" w:cs="Times New Roman"/>
                <w:b/>
                <w:bCs/>
                <w:sz w:val="24"/>
                <w:szCs w:val="24"/>
                <w:highlight w:val="green"/>
              </w:rPr>
              <w:t>Conclusión</w:t>
            </w:r>
            <w:r w:rsidRPr="00B13953">
              <w:rPr>
                <w:rFonts w:ascii="Times New Roman" w:hAnsi="Times New Roman" w:cs="Times New Roman"/>
                <w:b/>
                <w:bCs/>
                <w:sz w:val="24"/>
                <w:szCs w:val="24"/>
              </w:rPr>
              <w:t xml:space="preserve"> </w:t>
            </w:r>
          </w:p>
        </w:tc>
        <w:tc>
          <w:tcPr>
            <w:tcW w:w="8468" w:type="dxa"/>
            <w:gridSpan w:val="2"/>
          </w:tcPr>
          <w:p w:rsidR="00B13953" w:rsidRPr="00006B0D" w:rsidRDefault="00B13953" w:rsidP="00B13953">
            <w:pPr>
              <w:rPr>
                <w:rFonts w:ascii="Times New Roman" w:hAnsi="Times New Roman"/>
                <w:color w:val="000000"/>
                <w:szCs w:val="24"/>
                <w:lang w:eastAsia="es-ES"/>
              </w:rPr>
            </w:pPr>
            <w:r w:rsidRPr="00006B0D">
              <w:rPr>
                <w:rFonts w:ascii="Times New Roman" w:hAnsi="Times New Roman"/>
                <w:color w:val="000000"/>
                <w:szCs w:val="24"/>
                <w:lang w:eastAsia="es-ES"/>
              </w:rPr>
              <w:t xml:space="preserve">Como se puede observar, la mayoría de las motivaciones están en el interior del trabajador. De sus necesidades, deseos y expectativas se deriva en gran medida el impulso motivacional. </w:t>
            </w:r>
            <w:r w:rsidRPr="00006B0D">
              <w:rPr>
                <w:rFonts w:ascii="Times New Roman" w:hAnsi="Times New Roman"/>
                <w:szCs w:val="24"/>
                <w:lang w:eastAsia="es-ES"/>
              </w:rPr>
              <w:t xml:space="preserve">En términos generales, los autores han encontrado tres elementos que son transversales a varias teorías de la motivación: autonomía o independencia: poder decidir y ser responsables de las propias decisiones; maestría o conocimiento: ser mejores en la propia profesión; y propósito o contribución: servir a otros para darle sentido al trabajo o a la ocupación </w:t>
            </w:r>
            <w:r w:rsidRPr="00006B0D">
              <w:rPr>
                <w:rFonts w:ascii="Times New Roman" w:hAnsi="Times New Roman"/>
                <w:szCs w:val="24"/>
                <w:lang w:eastAsia="es-ES"/>
              </w:rPr>
              <w:fldChar w:fldCharType="begin" w:fldLock="1"/>
            </w:r>
            <w:r w:rsidRPr="00006B0D">
              <w:rPr>
                <w:rFonts w:ascii="Times New Roman" w:hAnsi="Times New Roman"/>
                <w:szCs w:val="24"/>
                <w:lang w:eastAsia="es-ES"/>
              </w:rPr>
              <w:instrText>ADDIN CSL_CITATION {"citationItems":[{"id":"ITEM-1","itemData":{"URL":"https://www.ted.com/talks/dan_pink_on_motivation","accessed":{"date-parts":[["2019","2","13"]]},"author":[{"dropping-particle":"","family":"Pinker","given":"Daniel","non-dropping-particle":"","parse-names":false,"suffix":""}],"container-title":"TED Talks","id":"ITEM-1","issued":{"date-parts":[["2009"]]},"title":"The puzzle of motivation","type":"webpage"},"uris":["http://www.mendeley.com/documents/?uuid=a083f470-940c-42b2-ae64-f922cb1ac048"]}],"mendeley":{"formattedCitation":"(Pinker, 2009)","plainTextFormattedCitation":"(Pinker, 2009)","previouslyFormattedCitation":"(Pinker, 2009)"},"properties":{"noteIndex":0},"schema":"https://github.com/citation-style-language/schema/raw/master/csl-citation.json"}</w:instrText>
            </w:r>
            <w:r w:rsidRPr="00006B0D">
              <w:rPr>
                <w:rFonts w:ascii="Times New Roman" w:hAnsi="Times New Roman"/>
                <w:szCs w:val="24"/>
                <w:lang w:eastAsia="es-ES"/>
              </w:rPr>
              <w:fldChar w:fldCharType="separate"/>
            </w:r>
            <w:r w:rsidRPr="00006B0D">
              <w:rPr>
                <w:rFonts w:ascii="Times New Roman" w:hAnsi="Times New Roman"/>
                <w:noProof/>
                <w:szCs w:val="24"/>
                <w:lang w:eastAsia="es-ES"/>
              </w:rPr>
              <w:t>(Pinker, 2009)</w:t>
            </w:r>
            <w:r w:rsidRPr="00006B0D">
              <w:rPr>
                <w:rFonts w:ascii="Times New Roman" w:hAnsi="Times New Roman"/>
                <w:szCs w:val="24"/>
                <w:lang w:eastAsia="es-ES"/>
              </w:rPr>
              <w:fldChar w:fldCharType="end"/>
            </w:r>
            <w:r w:rsidRPr="00006B0D">
              <w:rPr>
                <w:rFonts w:ascii="Times New Roman" w:hAnsi="Times New Roman"/>
                <w:szCs w:val="24"/>
                <w:lang w:eastAsia="es-ES"/>
              </w:rPr>
              <w:t xml:space="preserve">. </w:t>
            </w:r>
          </w:p>
          <w:p w:rsidR="00B13953" w:rsidRPr="004F7C46" w:rsidRDefault="00B13953" w:rsidP="004F7C46">
            <w:pPr>
              <w:rPr>
                <w:rFonts w:ascii="Times New Roman" w:hAnsi="Times New Roman" w:cs="Times New Roman"/>
                <w:sz w:val="24"/>
                <w:szCs w:val="24"/>
              </w:rPr>
            </w:pPr>
          </w:p>
        </w:tc>
      </w:tr>
    </w:tbl>
    <w:p w:rsidR="00F361C2" w:rsidRPr="004F7C46" w:rsidRDefault="00F361C2" w:rsidP="004F7C46">
      <w:pPr>
        <w:pStyle w:val="Piedepgina"/>
        <w:rPr>
          <w:rFonts w:ascii="Times New Roman" w:hAnsi="Times New Roman" w:cs="Times New Roman"/>
          <w:lang w:val="es-ES"/>
        </w:rPr>
      </w:pPr>
      <w:r w:rsidRPr="004F7C46">
        <w:rPr>
          <w:rFonts w:ascii="Times New Roman" w:hAnsi="Times New Roman" w:cs="Times New Roman"/>
          <w:lang w:val="es-ES"/>
        </w:rPr>
        <w:t xml:space="preserve">Fuente: elaboración propia a partir de Reeve </w:t>
      </w:r>
      <w:r w:rsidRPr="004F7C46">
        <w:rPr>
          <w:rFonts w:ascii="Times New Roman" w:hAnsi="Times New Roman" w:cs="Times New Roman"/>
          <w:lang w:val="es-ES"/>
        </w:rPr>
        <w:fldChar w:fldCharType="begin" w:fldLock="1"/>
      </w:r>
      <w:r w:rsidRPr="004F7C46">
        <w:rPr>
          <w:rFonts w:ascii="Times New Roman" w:hAnsi="Times New Roman" w:cs="Times New Roman"/>
          <w:lang w:val="es-ES"/>
        </w:rPr>
        <w:instrText>ADDIN CSL_CITATION {"citationItems":[{"id":"ITEM-1","itemData":{"author":[{"dropping-particle":"","family":"Reeve","given":"Johnmarshall","non-dropping-particle":"","parse-names":false,"suffix":""}],"edition":"5","id":"ITEM-1","issued":{"date-parts":[["2010"]]},"publisher":"McGraw-Hill","publisher-place":"México D. F.","title":"Motivación y Emoción","type":"book"},"suppress-author":1,"uris":["http://www.mendeley.com/documents/?uuid=e840cc36-748c-40bd-9bdd-71737ed44e12"]}],"mendeley":{"formattedCitation":"(2010)","plainTextFormattedCitation":"(2010)","previouslyFormattedCitation":"(2010)"},"properties":{"noteIndex":0},"schema":"https://github.com/citation-style-language/schema/raw/master/csl-citation.json"}</w:instrText>
      </w:r>
      <w:r w:rsidRPr="004F7C46">
        <w:rPr>
          <w:rFonts w:ascii="Times New Roman" w:hAnsi="Times New Roman" w:cs="Times New Roman"/>
          <w:lang w:val="es-ES"/>
        </w:rPr>
        <w:fldChar w:fldCharType="separate"/>
      </w:r>
      <w:r w:rsidRPr="004F7C46">
        <w:rPr>
          <w:rFonts w:ascii="Times New Roman" w:hAnsi="Times New Roman" w:cs="Times New Roman"/>
          <w:noProof/>
          <w:lang w:val="es-ES"/>
        </w:rPr>
        <w:t>(2010)</w:t>
      </w:r>
      <w:r w:rsidRPr="004F7C46">
        <w:rPr>
          <w:rFonts w:ascii="Times New Roman" w:hAnsi="Times New Roman" w:cs="Times New Roman"/>
          <w:lang w:val="es-ES"/>
        </w:rPr>
        <w:fldChar w:fldCharType="end"/>
      </w:r>
      <w:r w:rsidRPr="004F7C46">
        <w:rPr>
          <w:rFonts w:ascii="Times New Roman" w:hAnsi="Times New Roman" w:cs="Times New Roman"/>
          <w:lang w:val="es-ES"/>
        </w:rPr>
        <w:t>.</w:t>
      </w:r>
    </w:p>
    <w:p w:rsidR="002B3491" w:rsidRPr="004F7C46" w:rsidRDefault="002B3491" w:rsidP="004F7C46">
      <w:pPr>
        <w:spacing w:line="240" w:lineRule="auto"/>
        <w:rPr>
          <w:rFonts w:ascii="Times New Roman" w:hAnsi="Times New Roman" w:cs="Times New Roman"/>
          <w:sz w:val="24"/>
          <w:szCs w:val="24"/>
          <w:lang w:val="es-ES"/>
        </w:rPr>
      </w:pPr>
    </w:p>
    <w:p w:rsidR="002B3491" w:rsidRPr="004F7C46" w:rsidRDefault="002B3491" w:rsidP="004F7C46">
      <w:pPr>
        <w:spacing w:line="240" w:lineRule="auto"/>
        <w:rPr>
          <w:rFonts w:ascii="Times New Roman" w:hAnsi="Times New Roman" w:cs="Times New Roman"/>
          <w:sz w:val="24"/>
          <w:szCs w:val="24"/>
        </w:rPr>
      </w:pPr>
    </w:p>
    <w:p w:rsidR="002B3491" w:rsidRPr="004F7C46" w:rsidRDefault="002B3491" w:rsidP="004F7C46">
      <w:pPr>
        <w:spacing w:line="240" w:lineRule="auto"/>
        <w:rPr>
          <w:rFonts w:ascii="Times New Roman" w:hAnsi="Times New Roman" w:cs="Times New Roman"/>
          <w:sz w:val="24"/>
          <w:szCs w:val="24"/>
        </w:rPr>
      </w:pPr>
    </w:p>
    <w:p w:rsidR="00302FC2" w:rsidRPr="004F7C46" w:rsidRDefault="00302FC2" w:rsidP="004F7C46">
      <w:pPr>
        <w:spacing w:line="240" w:lineRule="auto"/>
        <w:rPr>
          <w:rFonts w:ascii="Times New Roman" w:hAnsi="Times New Roman" w:cs="Times New Roman"/>
          <w:sz w:val="24"/>
          <w:szCs w:val="24"/>
        </w:rPr>
      </w:pPr>
    </w:p>
    <w:p w:rsidR="00302FC2" w:rsidRPr="004F7C46" w:rsidRDefault="00302FC2" w:rsidP="004F7C46">
      <w:pPr>
        <w:spacing w:line="240" w:lineRule="auto"/>
        <w:rPr>
          <w:rFonts w:ascii="Times New Roman" w:hAnsi="Times New Roman" w:cs="Times New Roman"/>
          <w:sz w:val="24"/>
          <w:szCs w:val="24"/>
        </w:rPr>
      </w:pPr>
    </w:p>
    <w:sectPr w:rsidR="00302FC2" w:rsidRPr="004F7C46" w:rsidSect="00302FC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914"/>
    <w:multiLevelType w:val="hybridMultilevel"/>
    <w:tmpl w:val="99BA0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B96ED9"/>
    <w:multiLevelType w:val="hybridMultilevel"/>
    <w:tmpl w:val="528417A2"/>
    <w:lvl w:ilvl="0" w:tplc="2616960A">
      <w:start w:val="1"/>
      <w:numFmt w:val="bullet"/>
      <w:lvlText w:val=""/>
      <w:lvlJc w:val="left"/>
      <w:pPr>
        <w:ind w:left="720" w:hanging="360"/>
      </w:pPr>
      <w:rPr>
        <w:rFonts w:ascii="Symbol" w:hAnsi="Symbol" w:hint="default"/>
        <w:sz w:val="48"/>
        <w:szCs w:val="4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AF6B66"/>
    <w:multiLevelType w:val="hybridMultilevel"/>
    <w:tmpl w:val="F04AC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FD18E8"/>
    <w:multiLevelType w:val="hybridMultilevel"/>
    <w:tmpl w:val="B6543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FA042D"/>
    <w:multiLevelType w:val="hybridMultilevel"/>
    <w:tmpl w:val="CF429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C2"/>
    <w:rsid w:val="000172B4"/>
    <w:rsid w:val="00077974"/>
    <w:rsid w:val="000A6A4D"/>
    <w:rsid w:val="000C1BCB"/>
    <w:rsid w:val="000F74C9"/>
    <w:rsid w:val="001065EA"/>
    <w:rsid w:val="001912BD"/>
    <w:rsid w:val="00274362"/>
    <w:rsid w:val="002774CE"/>
    <w:rsid w:val="002B3491"/>
    <w:rsid w:val="00302FC2"/>
    <w:rsid w:val="003F47E5"/>
    <w:rsid w:val="0046670A"/>
    <w:rsid w:val="004A77EF"/>
    <w:rsid w:val="004B0CF6"/>
    <w:rsid w:val="004F7C46"/>
    <w:rsid w:val="00522740"/>
    <w:rsid w:val="00546EB1"/>
    <w:rsid w:val="00575A44"/>
    <w:rsid w:val="005A1D28"/>
    <w:rsid w:val="005D2D6B"/>
    <w:rsid w:val="0066374B"/>
    <w:rsid w:val="006931F1"/>
    <w:rsid w:val="00701C78"/>
    <w:rsid w:val="007554F3"/>
    <w:rsid w:val="007625E4"/>
    <w:rsid w:val="007E614A"/>
    <w:rsid w:val="00800264"/>
    <w:rsid w:val="00885B72"/>
    <w:rsid w:val="008C1FA6"/>
    <w:rsid w:val="008E385B"/>
    <w:rsid w:val="00900F7E"/>
    <w:rsid w:val="009169B9"/>
    <w:rsid w:val="00921037"/>
    <w:rsid w:val="009247A1"/>
    <w:rsid w:val="0093097B"/>
    <w:rsid w:val="00943BB4"/>
    <w:rsid w:val="009F3D49"/>
    <w:rsid w:val="00A05695"/>
    <w:rsid w:val="00A43353"/>
    <w:rsid w:val="00A50FD6"/>
    <w:rsid w:val="00A61AD5"/>
    <w:rsid w:val="00AE71A4"/>
    <w:rsid w:val="00B00C0B"/>
    <w:rsid w:val="00B13953"/>
    <w:rsid w:val="00C0059B"/>
    <w:rsid w:val="00C00FD9"/>
    <w:rsid w:val="00CE2470"/>
    <w:rsid w:val="00D058DF"/>
    <w:rsid w:val="00DB7EE8"/>
    <w:rsid w:val="00E439D4"/>
    <w:rsid w:val="00EA563B"/>
    <w:rsid w:val="00ED7C8D"/>
    <w:rsid w:val="00EF113E"/>
    <w:rsid w:val="00EF3945"/>
    <w:rsid w:val="00F04A90"/>
    <w:rsid w:val="00F361C2"/>
    <w:rsid w:val="00FB5D1E"/>
    <w:rsid w:val="00FD26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DC965-1A0C-4794-B74C-6F09A31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FC2"/>
    <w:pPr>
      <w:spacing w:after="200" w:line="240" w:lineRule="auto"/>
      <w:ind w:left="720"/>
      <w:contextualSpacing/>
    </w:pPr>
    <w:rPr>
      <w:rFonts w:eastAsiaTheme="minorEastAsia"/>
      <w:sz w:val="24"/>
      <w:szCs w:val="24"/>
      <w:lang w:val="es-ES_tradnl" w:eastAsia="ja-JP"/>
    </w:rPr>
  </w:style>
  <w:style w:type="table" w:styleId="Tablaconcuadrcula">
    <w:name w:val="Table Grid"/>
    <w:basedOn w:val="Tablanormal"/>
    <w:uiPriority w:val="39"/>
    <w:rsid w:val="0030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02F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FC2"/>
    <w:rPr>
      <w:rFonts w:ascii="Segoe UI" w:hAnsi="Segoe UI" w:cs="Segoe UI"/>
      <w:sz w:val="18"/>
      <w:szCs w:val="18"/>
    </w:rPr>
  </w:style>
  <w:style w:type="paragraph" w:styleId="Textocomentario">
    <w:name w:val="annotation text"/>
    <w:basedOn w:val="Normal"/>
    <w:link w:val="TextocomentarioCar"/>
    <w:uiPriority w:val="99"/>
    <w:unhideWhenUsed/>
    <w:rsid w:val="002B3491"/>
    <w:pPr>
      <w:spacing w:after="0" w:line="240" w:lineRule="auto"/>
      <w:jc w:val="both"/>
    </w:pPr>
    <w:rPr>
      <w:rFonts w:ascii="Arial" w:eastAsia="Times New Roman" w:hAnsi="Arial" w:cs="Times New Roman"/>
      <w:sz w:val="20"/>
      <w:szCs w:val="20"/>
      <w:lang w:eastAsia="es-CO"/>
    </w:rPr>
  </w:style>
  <w:style w:type="character" w:customStyle="1" w:styleId="TextocomentarioCar">
    <w:name w:val="Texto comentario Car"/>
    <w:basedOn w:val="Fuentedeprrafopredeter"/>
    <w:link w:val="Textocomentario"/>
    <w:uiPriority w:val="99"/>
    <w:rsid w:val="002B3491"/>
    <w:rPr>
      <w:rFonts w:ascii="Arial" w:eastAsia="Times New Roman" w:hAnsi="Arial" w:cs="Times New Roman"/>
      <w:sz w:val="20"/>
      <w:szCs w:val="20"/>
      <w:lang w:eastAsia="es-CO"/>
    </w:rPr>
  </w:style>
  <w:style w:type="character" w:styleId="Refdecomentario">
    <w:name w:val="annotation reference"/>
    <w:basedOn w:val="Fuentedeprrafopredeter"/>
    <w:uiPriority w:val="99"/>
    <w:semiHidden/>
    <w:unhideWhenUsed/>
    <w:rsid w:val="002B3491"/>
    <w:rPr>
      <w:sz w:val="16"/>
      <w:szCs w:val="16"/>
    </w:rPr>
  </w:style>
  <w:style w:type="paragraph" w:styleId="NormalWeb">
    <w:name w:val="Normal (Web)"/>
    <w:basedOn w:val="Normal"/>
    <w:uiPriority w:val="99"/>
    <w:unhideWhenUsed/>
    <w:rsid w:val="00A50FD6"/>
    <w:pPr>
      <w:spacing w:before="100" w:beforeAutospacing="1" w:after="100" w:afterAutospacing="1" w:line="240" w:lineRule="auto"/>
    </w:pPr>
    <w:rPr>
      <w:rFonts w:ascii="Times" w:eastAsia="Times New Roman" w:hAnsi="Times" w:cs="Times New Roman"/>
      <w:sz w:val="20"/>
      <w:szCs w:val="20"/>
      <w:lang w:val="es-ES_tradnl" w:eastAsia="es-ES"/>
    </w:rPr>
  </w:style>
  <w:style w:type="paragraph" w:styleId="Piedepgina">
    <w:name w:val="footer"/>
    <w:basedOn w:val="Normal"/>
    <w:link w:val="PiedepginaCar"/>
    <w:uiPriority w:val="99"/>
    <w:unhideWhenUsed/>
    <w:rsid w:val="00DB7EE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DB7EE8"/>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958</Words>
  <Characters>5270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10</cp:revision>
  <dcterms:created xsi:type="dcterms:W3CDTF">2020-03-29T15:07:00Z</dcterms:created>
  <dcterms:modified xsi:type="dcterms:W3CDTF">2020-09-11T19:38:00Z</dcterms:modified>
</cp:coreProperties>
</file>