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D6A4BA" w14:textId="77777777" w:rsidR="0017404C" w:rsidRDefault="0017404C" w:rsidP="004D2F5B">
      <w:pPr>
        <w:rPr>
          <w:rFonts w:ascii="Arial" w:eastAsia="Arial" w:hAnsi="Arial" w:cs="Arial"/>
          <w:b/>
          <w:color w:val="222222"/>
          <w:sz w:val="22"/>
          <w:szCs w:val="19"/>
          <w:highlight w:val="white"/>
        </w:rPr>
      </w:pPr>
    </w:p>
    <w:p w14:paraId="6364ADE1" w14:textId="77777777" w:rsidR="0017404C" w:rsidRPr="007A5C2F" w:rsidRDefault="0017404C" w:rsidP="0017404C">
      <w:pPr>
        <w:jc w:val="center"/>
        <w:rPr>
          <w:rFonts w:ascii="Arial" w:eastAsia="Arial" w:hAnsi="Arial" w:cs="Arial"/>
          <w:b/>
          <w:color w:val="222222"/>
          <w:sz w:val="22"/>
          <w:szCs w:val="19"/>
        </w:rPr>
      </w:pPr>
      <w:r w:rsidRPr="007A5C2F">
        <w:rPr>
          <w:rFonts w:ascii="Arial" w:eastAsia="Arial" w:hAnsi="Arial" w:cs="Arial"/>
          <w:b/>
          <w:color w:val="222222"/>
          <w:sz w:val="22"/>
          <w:szCs w:val="19"/>
          <w:highlight w:val="white"/>
        </w:rPr>
        <w:t xml:space="preserve">FORMATO DE GUIÓN PARA </w:t>
      </w:r>
      <w:r w:rsidRPr="007A5C2F">
        <w:rPr>
          <w:rFonts w:ascii="Arial" w:eastAsia="Arial" w:hAnsi="Arial" w:cs="Arial"/>
          <w:b/>
          <w:color w:val="222222"/>
          <w:sz w:val="22"/>
          <w:szCs w:val="19"/>
        </w:rPr>
        <w:t>ANIMACIÓN</w:t>
      </w:r>
    </w:p>
    <w:p w14:paraId="06B36191" w14:textId="77777777" w:rsidR="000D5764" w:rsidRPr="00FD2134" w:rsidRDefault="000D5764" w:rsidP="00E668FA">
      <w:pPr>
        <w:rPr>
          <w:lang w:val="es-ES"/>
        </w:rPr>
      </w:pPr>
    </w:p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3BD9625F" w:rsidR="00E668FA" w:rsidRPr="00CC366C" w:rsidRDefault="00E668FA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403C7F26" w:rsidR="0026707B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Febrero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0C9CD357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6BE69F6E" w:rsidR="00E668F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ENOE LEANDRA SANCHEZ M </w:t>
            </w:r>
          </w:p>
        </w:tc>
      </w:tr>
    </w:tbl>
    <w:p w14:paraId="2E1F5655" w14:textId="77777777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2268"/>
        <w:gridCol w:w="4820"/>
      </w:tblGrid>
      <w:tr w:rsidR="00FB5B8A" w:rsidRPr="00D76471" w14:paraId="099216C4" w14:textId="77777777" w:rsidTr="00FB5B8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6476C7BC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66AB15AF" w:rsidR="00E668F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CONTADURIA PUBLICA A DISTANCIA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5EC62024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4C6BB7EF" w:rsidR="00E668F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NEGOCIOS INTERNACIONALES</w:t>
            </w:r>
          </w:p>
        </w:tc>
      </w:tr>
      <w:tr w:rsidR="00FB5B8A" w:rsidRPr="00D76471" w14:paraId="37EA5502" w14:textId="77777777" w:rsidTr="00FB5B8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00EF5" w14:textId="128A9DA9" w:rsidR="00FB5B8A" w:rsidRPr="00CC366C" w:rsidRDefault="00FB5B8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PÚBLICO OBJETIVO: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1A63" w14:textId="43A0C994" w:rsidR="00FB5B8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PREGRADO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3F21" w14:textId="114DC3FA" w:rsidR="00FB5B8A" w:rsidRPr="00D76471" w:rsidRDefault="00FB5B8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TIPO DE ANIMACIÓN: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4A7C" w14:textId="5B7C321A" w:rsidR="00FB5B8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2D</w:t>
            </w:r>
          </w:p>
        </w:tc>
      </w:tr>
      <w:tr w:rsidR="00FB5B8A" w:rsidRPr="00D76471" w14:paraId="5FF1EB03" w14:textId="77777777" w:rsidTr="00FB5B8A">
        <w:trPr>
          <w:trHeight w:val="33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30DE3653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D76471">
              <w:rPr>
                <w:rFonts w:ascii="Calibri" w:hAnsi="Calibri"/>
                <w:sz w:val="22"/>
                <w:szCs w:val="18"/>
              </w:rPr>
              <w:t>T</w:t>
            </w:r>
            <w:r w:rsidRPr="00CC366C">
              <w:rPr>
                <w:rFonts w:ascii="Calibri" w:hAnsi="Calibri"/>
                <w:b/>
                <w:sz w:val="22"/>
                <w:szCs w:val="18"/>
              </w:rPr>
              <w:t>EMA</w:t>
            </w:r>
            <w:r w:rsid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469AE6F6" w:rsidR="00E668FA" w:rsidRPr="00D76471" w:rsidRDefault="0026707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TRANSPORTE INTERNACIONA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58EF191C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SUBTEMAS: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251" w14:textId="3F9B4B33" w:rsidR="00E668FA" w:rsidRPr="00D76471" w:rsidRDefault="0026707B" w:rsidP="00B54F74">
            <w:pPr>
              <w:snapToGrid w:val="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TIPOS DE TRANSPORTES </w:t>
            </w:r>
          </w:p>
        </w:tc>
      </w:tr>
    </w:tbl>
    <w:p w14:paraId="6E1B30B7" w14:textId="77777777" w:rsidR="00E668FA" w:rsidRDefault="00E668FA" w:rsidP="00C95173">
      <w:pPr>
        <w:jc w:val="center"/>
      </w:pPr>
    </w:p>
    <w:p w14:paraId="3FF0C0B4" w14:textId="77777777" w:rsidR="004D00B1" w:rsidRDefault="004D00B1" w:rsidP="00C95173">
      <w:pPr>
        <w:jc w:val="center"/>
      </w:pPr>
    </w:p>
    <w:p w14:paraId="66BC2A82" w14:textId="77777777" w:rsidR="00EC14AA" w:rsidRDefault="00EC14AA"/>
    <w:p w14:paraId="2A73B570" w14:textId="77777777" w:rsidR="00343757" w:rsidRDefault="00343757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40457C4" w14:textId="77777777" w:rsidR="00343757" w:rsidRDefault="00343757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0300D93" w14:textId="77777777" w:rsidR="00300B6C" w:rsidRDefault="00300B6C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12DC8AC" w14:textId="77777777" w:rsidR="009A395C" w:rsidRPr="00300B6C" w:rsidRDefault="009A395C" w:rsidP="009A395C">
      <w:pPr>
        <w:jc w:val="center"/>
        <w:rPr>
          <w:rFonts w:ascii="Arial" w:eastAsia="Arial" w:hAnsi="Arial" w:cs="Arial"/>
          <w:b/>
          <w:sz w:val="22"/>
          <w:szCs w:val="20"/>
        </w:rPr>
      </w:pPr>
      <w:r w:rsidRPr="00300B6C">
        <w:rPr>
          <w:rFonts w:ascii="Arial" w:eastAsia="Arial" w:hAnsi="Arial" w:cs="Arial"/>
          <w:b/>
          <w:sz w:val="22"/>
          <w:szCs w:val="20"/>
        </w:rPr>
        <w:t>ESTRUCTURA GUIÓN</w:t>
      </w:r>
    </w:p>
    <w:p w14:paraId="1E8589D6" w14:textId="77777777" w:rsidR="00300B6C" w:rsidRPr="00300B6C" w:rsidRDefault="00300B6C" w:rsidP="009A395C">
      <w:pPr>
        <w:jc w:val="center"/>
        <w:rPr>
          <w:rFonts w:ascii="Arial" w:eastAsia="Arial" w:hAnsi="Arial" w:cs="Arial"/>
          <w:b/>
          <w:sz w:val="22"/>
          <w:szCs w:val="20"/>
        </w:rPr>
      </w:pPr>
    </w:p>
    <w:p w14:paraId="04058A86" w14:textId="061B1269" w:rsidR="00300B6C" w:rsidRPr="00300B6C" w:rsidRDefault="00300B6C" w:rsidP="00300B6C">
      <w:pPr>
        <w:rPr>
          <w:rFonts w:ascii="Arial" w:eastAsia="Arial" w:hAnsi="Arial" w:cs="Arial"/>
          <w:color w:val="FF0000"/>
          <w:sz w:val="22"/>
          <w:szCs w:val="20"/>
        </w:rPr>
      </w:pPr>
      <w:r w:rsidRPr="00300B6C">
        <w:rPr>
          <w:rFonts w:ascii="Arial" w:eastAsia="Arial" w:hAnsi="Arial" w:cs="Arial"/>
          <w:color w:val="FF0000"/>
          <w:sz w:val="22"/>
          <w:szCs w:val="20"/>
        </w:rPr>
        <w:t>Por favor diseñar interactividad de acuerdo con el modelo de la referencia:</w:t>
      </w:r>
    </w:p>
    <w:p w14:paraId="639FD77F" w14:textId="77777777" w:rsidR="00300B6C" w:rsidRPr="00300B6C" w:rsidRDefault="00300B6C" w:rsidP="009A395C">
      <w:pPr>
        <w:jc w:val="center"/>
        <w:rPr>
          <w:rFonts w:ascii="Arial" w:eastAsia="Arial" w:hAnsi="Arial" w:cs="Arial"/>
          <w:b/>
          <w:sz w:val="22"/>
          <w:szCs w:val="20"/>
        </w:rPr>
      </w:pPr>
    </w:p>
    <w:p w14:paraId="579DEF81" w14:textId="60FA0BE4" w:rsidR="00300B6C" w:rsidRDefault="00300B6C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noProof/>
          <w:lang w:val="en-US"/>
        </w:rPr>
        <w:lastRenderedPageBreak/>
        <w:drawing>
          <wp:inline distT="0" distB="0" distL="0" distR="0" wp14:anchorId="73A71679" wp14:editId="6C160854">
            <wp:extent cx="5943600" cy="3232844"/>
            <wp:effectExtent l="0" t="0" r="0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B805" w14:textId="77777777" w:rsidR="00343757" w:rsidRDefault="00343757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44A7FC5" w14:textId="77777777" w:rsidR="00300B6C" w:rsidRPr="00300B6C" w:rsidRDefault="00300B6C" w:rsidP="009A395C">
      <w:pPr>
        <w:jc w:val="center"/>
        <w:rPr>
          <w:rFonts w:ascii="Arial" w:eastAsia="Arial" w:hAnsi="Arial" w:cs="Arial"/>
          <w:b/>
          <w:sz w:val="22"/>
          <w:szCs w:val="20"/>
        </w:rPr>
      </w:pPr>
    </w:p>
    <w:p w14:paraId="591468C7" w14:textId="00ADC55B" w:rsidR="00300B6C" w:rsidRPr="00300B6C" w:rsidRDefault="00300B6C" w:rsidP="00300B6C">
      <w:pPr>
        <w:rPr>
          <w:rFonts w:ascii="Arial" w:eastAsia="Arial" w:hAnsi="Arial" w:cs="Arial"/>
          <w:b/>
          <w:sz w:val="22"/>
          <w:szCs w:val="20"/>
        </w:rPr>
      </w:pPr>
      <w:r w:rsidRPr="00300B6C">
        <w:rPr>
          <w:rFonts w:ascii="Arial" w:eastAsia="Arial" w:hAnsi="Arial" w:cs="Arial"/>
          <w:b/>
          <w:color w:val="FF0000"/>
          <w:sz w:val="22"/>
          <w:szCs w:val="20"/>
        </w:rPr>
        <w:t>Título:</w:t>
      </w:r>
      <w:r w:rsidRPr="00300B6C">
        <w:rPr>
          <w:rFonts w:ascii="Arial" w:eastAsia="Arial" w:hAnsi="Arial" w:cs="Arial"/>
          <w:b/>
          <w:sz w:val="22"/>
          <w:szCs w:val="20"/>
        </w:rPr>
        <w:t xml:space="preserve"> Tipos de transporte.</w:t>
      </w:r>
    </w:p>
    <w:p w14:paraId="2578F70C" w14:textId="77777777" w:rsidR="00300B6C" w:rsidRPr="00300B6C" w:rsidRDefault="00300B6C" w:rsidP="00300B6C">
      <w:pPr>
        <w:rPr>
          <w:rFonts w:ascii="Arial" w:eastAsia="Arial" w:hAnsi="Arial" w:cs="Arial"/>
          <w:b/>
          <w:sz w:val="22"/>
          <w:szCs w:val="20"/>
        </w:rPr>
      </w:pPr>
    </w:p>
    <w:p w14:paraId="2CAA49AC" w14:textId="0627E7AD" w:rsidR="00300B6C" w:rsidRPr="00300B6C" w:rsidRDefault="00300B6C" w:rsidP="00300B6C">
      <w:pPr>
        <w:rPr>
          <w:rFonts w:ascii="Arial" w:eastAsia="Arial" w:hAnsi="Arial" w:cs="Arial"/>
          <w:b/>
          <w:sz w:val="22"/>
          <w:szCs w:val="20"/>
        </w:rPr>
      </w:pPr>
      <w:r w:rsidRPr="00300B6C">
        <w:rPr>
          <w:rFonts w:ascii="Arial" w:eastAsia="Arial" w:hAnsi="Arial" w:cs="Arial"/>
          <w:b/>
          <w:color w:val="FF0000"/>
          <w:sz w:val="22"/>
          <w:szCs w:val="20"/>
        </w:rPr>
        <w:t>Instrucción:</w:t>
      </w:r>
      <w:r w:rsidRPr="00300B6C">
        <w:rPr>
          <w:rFonts w:ascii="Arial" w:eastAsia="Arial" w:hAnsi="Arial" w:cs="Arial"/>
          <w:b/>
          <w:sz w:val="22"/>
          <w:szCs w:val="20"/>
        </w:rPr>
        <w:t xml:space="preserve"> </w:t>
      </w:r>
      <w:r w:rsidRPr="00300B6C">
        <w:rPr>
          <w:rFonts w:ascii="Arial" w:eastAsia="Arial" w:hAnsi="Arial" w:cs="Arial"/>
          <w:sz w:val="22"/>
          <w:szCs w:val="20"/>
        </w:rPr>
        <w:t>Haga clic en cada ítem para conocer cada tipo de transporte.</w:t>
      </w:r>
    </w:p>
    <w:p w14:paraId="2E4B6C0A" w14:textId="77777777" w:rsidR="00343757" w:rsidRPr="0017404C" w:rsidRDefault="00343757" w:rsidP="009A395C">
      <w:pPr>
        <w:jc w:val="center"/>
        <w:rPr>
          <w:sz w:val="11"/>
        </w:rPr>
      </w:pPr>
    </w:p>
    <w:p w14:paraId="07D2DBFF" w14:textId="77777777" w:rsidR="002F06A6" w:rsidRPr="0017404C" w:rsidRDefault="002F06A6">
      <w:pPr>
        <w:rPr>
          <w:sz w:val="11"/>
        </w:rPr>
      </w:pPr>
    </w:p>
    <w:tbl>
      <w:tblPr>
        <w:tblStyle w:val="a"/>
        <w:tblpPr w:leftFromText="180" w:rightFromText="180" w:vertAnchor="text" w:horzAnchor="page" w:tblpX="1275" w:tblpY="27"/>
        <w:tblW w:w="131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11624"/>
      </w:tblGrid>
      <w:tr w:rsidR="00343757" w14:paraId="7B201482" w14:textId="77777777" w:rsidTr="00B76624">
        <w:trPr>
          <w:trHeight w:val="1401"/>
        </w:trPr>
        <w:tc>
          <w:tcPr>
            <w:tcW w:w="1575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vAlign w:val="center"/>
          </w:tcPr>
          <w:p w14:paraId="7945FA69" w14:textId="1318AB45" w:rsidR="00343757" w:rsidRPr="00BB01F2" w:rsidRDefault="00343757" w:rsidP="000140BF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lastRenderedPageBreak/>
              <w:t>Cuerpo o desarrollo de la idea.</w:t>
            </w:r>
          </w:p>
          <w:p w14:paraId="0CA4782C" w14:textId="77777777" w:rsidR="00343757" w:rsidRPr="00BB01F2" w:rsidRDefault="00343757" w:rsidP="000140BF">
            <w:pPr>
              <w:jc w:val="center"/>
              <w:rPr>
                <w:sz w:val="21"/>
              </w:rPr>
            </w:pPr>
          </w:p>
          <w:p w14:paraId="1CA2E45D" w14:textId="77777777" w:rsidR="00343757" w:rsidRPr="00BB01F2" w:rsidRDefault="00343757" w:rsidP="000140BF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sz w:val="21"/>
                <w:szCs w:val="22"/>
              </w:rPr>
              <w:t>(Número aproximado de palabras: 400 - 500)</w:t>
            </w:r>
          </w:p>
          <w:p w14:paraId="301F75FD" w14:textId="77777777" w:rsidR="00343757" w:rsidRPr="00BB01F2" w:rsidRDefault="00343757" w:rsidP="000140BF">
            <w:pPr>
              <w:rPr>
                <w:sz w:val="21"/>
              </w:rPr>
            </w:pPr>
          </w:p>
        </w:tc>
        <w:tc>
          <w:tcPr>
            <w:tcW w:w="11624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C1F001" w14:textId="77777777" w:rsidR="00C47CE9" w:rsidRPr="00C47CE9" w:rsidRDefault="00C47CE9" w:rsidP="00C47CE9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2"/>
              </w:rPr>
            </w:pPr>
            <w:r w:rsidRPr="00C47CE9">
              <w:rPr>
                <w:rFonts w:ascii="Arial" w:hAnsi="Arial" w:cs="Arial"/>
                <w:b/>
                <w:color w:val="FF0000"/>
                <w:sz w:val="22"/>
              </w:rPr>
              <w:t>Contenido:</w:t>
            </w:r>
          </w:p>
          <w:p w14:paraId="14208E1E" w14:textId="77777777" w:rsidR="00C47CE9" w:rsidRPr="00C47CE9" w:rsidRDefault="00C47CE9" w:rsidP="00C47CE9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44B3D2F6" w14:textId="5D567C4C" w:rsidR="00F412EB" w:rsidRPr="00C47CE9" w:rsidRDefault="00F412EB" w:rsidP="00F412E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t>Transporte terrestre.</w:t>
            </w:r>
            <w:r w:rsidRPr="00C47CE9">
              <w:rPr>
                <w:rFonts w:ascii="Arial" w:hAnsi="Arial" w:cs="Arial"/>
                <w:sz w:val="22"/>
              </w:rPr>
              <w:t xml:space="preserve"> El transporte terrestre en tracto camión es el más utilizado desde el momento que la mercancía sale de la fábrica, realiza su tránsito en el país de destino hasta el puerto o aeropuerto más cercano, para luego descargarse en la zona aduanera y proseguir el tránsito hacia el extranjero, según </w:t>
            </w:r>
            <w:r w:rsidR="00B76624" w:rsidRPr="00C47CE9">
              <w:rPr>
                <w:rFonts w:ascii="Arial" w:hAnsi="Arial" w:cs="Arial"/>
                <w:sz w:val="22"/>
              </w:rPr>
              <w:t xml:space="preserve">el </w:t>
            </w:r>
            <w:r w:rsidRPr="00C47CE9">
              <w:rPr>
                <w:rFonts w:ascii="Arial" w:hAnsi="Arial" w:cs="Arial"/>
                <w:sz w:val="22"/>
              </w:rPr>
              <w:t>medio de transporte subsiguiente que puede ser marítimo o aéreo.</w:t>
            </w:r>
          </w:p>
          <w:p w14:paraId="41B1016E" w14:textId="77777777" w:rsidR="00F412EB" w:rsidRPr="00C47CE9" w:rsidRDefault="00F412EB" w:rsidP="00F412EB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</w:p>
          <w:p w14:paraId="6C279A3E" w14:textId="2862BAEF" w:rsidR="00F412EB" w:rsidRPr="00C47CE9" w:rsidRDefault="00F412EB" w:rsidP="00B7662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t>Transporte por ferrocarril</w:t>
            </w:r>
            <w:r w:rsidRPr="00C47CE9">
              <w:rPr>
                <w:rFonts w:ascii="Arial" w:hAnsi="Arial" w:cs="Arial"/>
                <w:b/>
                <w:sz w:val="22"/>
              </w:rPr>
              <w:t xml:space="preserve">. </w:t>
            </w:r>
            <w:r w:rsidRPr="00C47CE9">
              <w:rPr>
                <w:rFonts w:ascii="Arial" w:hAnsi="Arial" w:cs="Arial"/>
                <w:sz w:val="22"/>
              </w:rPr>
              <w:t>Este es otro medio de transporte terrestre, el cual es muy utilizado en aquellos países que cuenta</w:t>
            </w:r>
            <w:r w:rsidR="00B76624" w:rsidRPr="00C47CE9">
              <w:rPr>
                <w:rFonts w:ascii="Arial" w:hAnsi="Arial" w:cs="Arial"/>
                <w:sz w:val="22"/>
              </w:rPr>
              <w:t>n</w:t>
            </w:r>
            <w:r w:rsidRPr="00C47CE9">
              <w:rPr>
                <w:rFonts w:ascii="Arial" w:hAnsi="Arial" w:cs="Arial"/>
                <w:sz w:val="22"/>
              </w:rPr>
              <w:t xml:space="preserve"> con infraestructura férrea</w:t>
            </w:r>
            <w:r w:rsidR="00B76624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dadas sus características topográficas que lo permiten. Para el caso colombiano, este medio de transporte dejó de ser utilizado y fue cambiado por el transporte en tracto mula. Las ventajas del transporte por ferrocarril </w:t>
            </w:r>
            <w:r w:rsidR="00B76624" w:rsidRPr="00C47CE9">
              <w:rPr>
                <w:rFonts w:ascii="Arial" w:hAnsi="Arial" w:cs="Arial"/>
                <w:sz w:val="22"/>
              </w:rPr>
              <w:t>es que resulta ser más seguro</w:t>
            </w:r>
            <w:r w:rsidRPr="00C47CE9">
              <w:rPr>
                <w:rFonts w:ascii="Arial" w:hAnsi="Arial" w:cs="Arial"/>
                <w:sz w:val="22"/>
              </w:rPr>
              <w:t xml:space="preserve"> y menos afectado por las variaciones de tiempo</w:t>
            </w:r>
            <w:r w:rsidR="00B76624" w:rsidRPr="00C47CE9">
              <w:rPr>
                <w:rFonts w:ascii="Arial" w:hAnsi="Arial" w:cs="Arial"/>
                <w:sz w:val="22"/>
              </w:rPr>
              <w:t>;</w:t>
            </w:r>
            <w:r w:rsidRPr="00C47CE9">
              <w:rPr>
                <w:rFonts w:ascii="Arial" w:hAnsi="Arial" w:cs="Arial"/>
                <w:sz w:val="22"/>
              </w:rPr>
              <w:t xml:space="preserve"> además permite el transporte de grandes volúmenes de mercancías</w:t>
            </w:r>
            <w:r w:rsidR="00B76624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lo cual influye en la disminución de costos de transporte y</w:t>
            </w:r>
            <w:r w:rsidR="00B76624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por lo tanto, el precio final puede ser más competitivo.</w:t>
            </w:r>
          </w:p>
          <w:p w14:paraId="1C401458" w14:textId="77777777" w:rsidR="00B76624" w:rsidRPr="00C47CE9" w:rsidRDefault="00B76624" w:rsidP="00B7662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14:paraId="46552413" w14:textId="2B715A10" w:rsidR="00F412EB" w:rsidRPr="00C47CE9" w:rsidRDefault="00F412EB" w:rsidP="00F412E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t>Transporte marítimo.</w:t>
            </w:r>
            <w:r w:rsidRPr="00C47CE9">
              <w:rPr>
                <w:rFonts w:ascii="Arial" w:hAnsi="Arial" w:cs="Arial"/>
                <w:sz w:val="22"/>
              </w:rPr>
              <w:t xml:space="preserve"> Dado que las tres terceras partes del planeta está</w:t>
            </w:r>
            <w:r w:rsidR="00B76624" w:rsidRPr="00C47CE9">
              <w:rPr>
                <w:rFonts w:ascii="Arial" w:hAnsi="Arial" w:cs="Arial"/>
                <w:sz w:val="22"/>
              </w:rPr>
              <w:t>n</w:t>
            </w:r>
            <w:r w:rsidRPr="00C47CE9">
              <w:rPr>
                <w:rFonts w:ascii="Arial" w:hAnsi="Arial" w:cs="Arial"/>
                <w:sz w:val="22"/>
              </w:rPr>
              <w:t xml:space="preserve"> constituid</w:t>
            </w:r>
            <w:r w:rsidR="00B76624" w:rsidRPr="00C47CE9">
              <w:rPr>
                <w:rFonts w:ascii="Arial" w:hAnsi="Arial" w:cs="Arial"/>
                <w:sz w:val="22"/>
              </w:rPr>
              <w:t>as</w:t>
            </w:r>
            <w:r w:rsidRPr="00C47CE9">
              <w:rPr>
                <w:rFonts w:ascii="Arial" w:hAnsi="Arial" w:cs="Arial"/>
                <w:sz w:val="22"/>
              </w:rPr>
              <w:t xml:space="preserve"> por agua, este medio de transporte es el más utilizado</w:t>
            </w:r>
            <w:r w:rsidR="00B76624" w:rsidRPr="00C47CE9">
              <w:rPr>
                <w:rFonts w:ascii="Arial" w:hAnsi="Arial" w:cs="Arial"/>
                <w:sz w:val="22"/>
              </w:rPr>
              <w:t>. P</w:t>
            </w:r>
            <w:r w:rsidRPr="00C47CE9">
              <w:rPr>
                <w:rFonts w:ascii="Arial" w:hAnsi="Arial" w:cs="Arial"/>
                <w:sz w:val="22"/>
              </w:rPr>
              <w:t>ermite transportar carga a gran escala por su adaptabilidad a toda clase de productos, volúmenes o tamaños. Los buques de gran calado</w:t>
            </w:r>
            <w:r w:rsidR="005142DD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en la i</w:t>
            </w:r>
            <w:r w:rsidR="00B76624" w:rsidRPr="00C47CE9">
              <w:rPr>
                <w:rFonts w:ascii="Arial" w:hAnsi="Arial" w:cs="Arial"/>
                <w:sz w:val="22"/>
              </w:rPr>
              <w:t>nfinidad de rutas de transporte</w:t>
            </w:r>
            <w:r w:rsidR="005142DD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</w:t>
            </w:r>
            <w:r w:rsidR="00B76624" w:rsidRPr="00C47CE9">
              <w:rPr>
                <w:rFonts w:ascii="Arial" w:hAnsi="Arial" w:cs="Arial"/>
                <w:sz w:val="22"/>
              </w:rPr>
              <w:t>posibilitan</w:t>
            </w:r>
            <w:r w:rsidRPr="00C47CE9">
              <w:rPr>
                <w:rFonts w:ascii="Arial" w:hAnsi="Arial" w:cs="Arial"/>
                <w:sz w:val="22"/>
              </w:rPr>
              <w:t xml:space="preserve"> una mayor cobertura a diferentes mercados de todos los continentes, sin importar distancias, tiempos o costos.</w:t>
            </w:r>
          </w:p>
          <w:p w14:paraId="4B55C7F1" w14:textId="77777777" w:rsidR="00F412EB" w:rsidRPr="00C47CE9" w:rsidRDefault="00F412EB" w:rsidP="00F412EB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</w:p>
          <w:p w14:paraId="34E436A1" w14:textId="74BEC2F6" w:rsidR="00F412EB" w:rsidRPr="00C47CE9" w:rsidRDefault="00F412EB" w:rsidP="00F412E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lastRenderedPageBreak/>
              <w:t>Transporte fluvial.</w:t>
            </w:r>
            <w:r w:rsidRPr="00C47CE9">
              <w:rPr>
                <w:rFonts w:ascii="Arial" w:hAnsi="Arial" w:cs="Arial"/>
                <w:sz w:val="22"/>
              </w:rPr>
              <w:t xml:space="preserve"> Es aquel que permite</w:t>
            </w:r>
            <w:r w:rsidR="005142DD" w:rsidRPr="00C47CE9">
              <w:rPr>
                <w:rFonts w:ascii="Arial" w:hAnsi="Arial" w:cs="Arial"/>
                <w:sz w:val="22"/>
              </w:rPr>
              <w:t xml:space="preserve"> </w:t>
            </w:r>
            <w:r w:rsidRPr="00C47CE9">
              <w:rPr>
                <w:rFonts w:ascii="Arial" w:hAnsi="Arial" w:cs="Arial"/>
                <w:sz w:val="22"/>
              </w:rPr>
              <w:t>la distribución física a través de los ríos navegables</w:t>
            </w:r>
            <w:r w:rsidR="005142DD" w:rsidRPr="00C47CE9">
              <w:rPr>
                <w:rFonts w:ascii="Arial" w:hAnsi="Arial" w:cs="Arial"/>
                <w:sz w:val="22"/>
              </w:rPr>
              <w:t>. S</w:t>
            </w:r>
            <w:r w:rsidRPr="00C47CE9">
              <w:rPr>
                <w:rFonts w:ascii="Arial" w:hAnsi="Arial" w:cs="Arial"/>
                <w:sz w:val="22"/>
              </w:rPr>
              <w:t xml:space="preserve">e vuelve de carácter internacional, siempre y cuando </w:t>
            </w:r>
            <w:r w:rsidR="005142DD" w:rsidRPr="00C47CE9">
              <w:rPr>
                <w:rFonts w:ascii="Arial" w:hAnsi="Arial" w:cs="Arial"/>
                <w:sz w:val="22"/>
              </w:rPr>
              <w:t>posibilite</w:t>
            </w:r>
            <w:r w:rsidRPr="00C47CE9">
              <w:rPr>
                <w:rFonts w:ascii="Arial" w:hAnsi="Arial" w:cs="Arial"/>
                <w:sz w:val="22"/>
              </w:rPr>
              <w:t xml:space="preserve"> atravesar diversos países con puertos establecidos para la recepción de productos o mercancía objetos de las diferentes transacciones derivadas del comercio internacional.</w:t>
            </w:r>
          </w:p>
          <w:p w14:paraId="32107C4E" w14:textId="77777777" w:rsidR="00F412EB" w:rsidRPr="00CA2D8B" w:rsidRDefault="00F412EB" w:rsidP="00F412EB">
            <w:pPr>
              <w:pStyle w:val="ListParagraph"/>
              <w:rPr>
                <w:sz w:val="20"/>
              </w:rPr>
            </w:pPr>
          </w:p>
          <w:p w14:paraId="3D7D908E" w14:textId="46555D3A" w:rsidR="00F412EB" w:rsidRPr="00C47CE9" w:rsidRDefault="00F412EB" w:rsidP="00F412E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t>Transporte aéreo.</w:t>
            </w:r>
            <w:r w:rsidRPr="00C47CE9">
              <w:rPr>
                <w:rFonts w:ascii="Arial" w:hAnsi="Arial" w:cs="Arial"/>
                <w:sz w:val="22"/>
              </w:rPr>
              <w:t xml:space="preserve"> El transporte aéreo es otro tipo de transporte de </w:t>
            </w:r>
            <w:r w:rsidR="005142DD" w:rsidRPr="00C47CE9">
              <w:rPr>
                <w:rFonts w:ascii="Arial" w:hAnsi="Arial" w:cs="Arial"/>
                <w:sz w:val="22"/>
              </w:rPr>
              <w:t>gran uso</w:t>
            </w:r>
            <w:r w:rsidRPr="00C47CE9">
              <w:rPr>
                <w:rFonts w:ascii="Arial" w:hAnsi="Arial" w:cs="Arial"/>
                <w:sz w:val="22"/>
              </w:rPr>
              <w:t xml:space="preserve"> para la distribución física internacional, siempre y cuando se compare frente al transporte marítimo en términos de volumen, peso y productos perecederos que, por la distancia, requieren de este medio de transporte. Este medio optimiza la entrega oportuna y eficiente</w:t>
            </w:r>
            <w:r w:rsidR="005142DD" w:rsidRPr="00C47CE9">
              <w:rPr>
                <w:rFonts w:ascii="Arial" w:hAnsi="Arial" w:cs="Arial"/>
                <w:sz w:val="22"/>
              </w:rPr>
              <w:t>;</w:t>
            </w:r>
            <w:r w:rsidRPr="00C47CE9">
              <w:rPr>
                <w:rFonts w:ascii="Arial" w:hAnsi="Arial" w:cs="Arial"/>
                <w:sz w:val="22"/>
              </w:rPr>
              <w:t xml:space="preserve"> sin embargo,</w:t>
            </w:r>
            <w:bookmarkStart w:id="0" w:name="_GoBack"/>
            <w:bookmarkEnd w:id="0"/>
            <w:r w:rsidRPr="00C47CE9">
              <w:rPr>
                <w:rFonts w:ascii="Arial" w:hAnsi="Arial" w:cs="Arial"/>
                <w:sz w:val="22"/>
              </w:rPr>
              <w:t xml:space="preserve"> tiene un alto impacto en los costos de exportación</w:t>
            </w:r>
            <w:r w:rsidR="005142DD" w:rsidRPr="00C47CE9">
              <w:rPr>
                <w:rFonts w:ascii="Arial" w:hAnsi="Arial" w:cs="Arial"/>
                <w:sz w:val="22"/>
              </w:rPr>
              <w:t>,</w:t>
            </w:r>
            <w:r w:rsidRPr="00C47CE9">
              <w:rPr>
                <w:rFonts w:ascii="Arial" w:hAnsi="Arial" w:cs="Arial"/>
                <w:sz w:val="22"/>
              </w:rPr>
              <w:t xml:space="preserve"> por cuanto su logística implica la utilización de aeropuertos, tránsitos multimodales y legalizaciones más extensivas.</w:t>
            </w:r>
          </w:p>
          <w:p w14:paraId="151F77B9" w14:textId="77777777" w:rsidR="00F412EB" w:rsidRPr="00C47CE9" w:rsidRDefault="00F412EB" w:rsidP="00F412EB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21DB74E4" w14:textId="3AD610ED" w:rsidR="00343757" w:rsidRPr="008421A5" w:rsidRDefault="00F412EB" w:rsidP="008421A5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0"/>
              </w:rPr>
            </w:pPr>
            <w:r w:rsidRPr="00C47CE9">
              <w:rPr>
                <w:rFonts w:ascii="Arial" w:hAnsi="Arial" w:cs="Arial"/>
                <w:b/>
                <w:sz w:val="22"/>
                <w:u w:val="single"/>
              </w:rPr>
              <w:t>Transporte multimodal.</w:t>
            </w:r>
            <w:r w:rsidRPr="00C47CE9">
              <w:rPr>
                <w:rFonts w:ascii="Arial" w:hAnsi="Arial" w:cs="Arial"/>
                <w:sz w:val="22"/>
              </w:rPr>
              <w:t xml:space="preserve"> Hace referencia a la utilización de más de un tipo de transporte en el proceso de distribución física internacional, el cual depende de la distancia, las condiciones topográficas, la adaptabilidad a diferentes territorios, haciendo necesario su utilización para efectos de la entrega en el país de destino y lugar convenido según acuerdos entre la empresa exportadora e importadora en una transacción de comercio exterior</w:t>
            </w:r>
            <w:r w:rsidR="005142DD" w:rsidRPr="00C47CE9">
              <w:rPr>
                <w:rFonts w:ascii="Arial" w:hAnsi="Arial" w:cs="Arial"/>
                <w:sz w:val="22"/>
              </w:rPr>
              <w:t>.</w:t>
            </w:r>
            <w:r w:rsidRPr="00C47CE9">
              <w:rPr>
                <w:rFonts w:ascii="Arial" w:hAnsi="Arial" w:cs="Arial"/>
                <w:sz w:val="22"/>
              </w:rPr>
              <w:t xml:space="preserve"> </w:t>
            </w:r>
            <w:r w:rsidRPr="00C47CE9">
              <w:rPr>
                <w:rFonts w:ascii="Arial" w:hAnsi="Arial" w:cs="Arial"/>
                <w:sz w:val="22"/>
              </w:rPr>
              <w:fldChar w:fldCharType="begin"/>
            </w:r>
            <w:r w:rsidRPr="00C47CE9">
              <w:rPr>
                <w:rFonts w:ascii="Arial" w:hAnsi="Arial" w:cs="Arial"/>
                <w:sz w:val="22"/>
              </w:rPr>
              <w:instrText xml:space="preserve"> ADDIN EN.CITE &lt;EndNote&gt;&lt;Cite&gt;&lt;Author&gt;Cánovas&lt;/Author&gt;&lt;Year&gt;2014&lt;/Year&gt;&lt;RecNum&gt;2455&lt;/RecNum&gt;&lt;DisplayText&gt;(Cánovas, 2014)&lt;/DisplayText&gt;&lt;record&gt;&lt;rec-number&gt;2455&lt;/rec-number&gt;&lt;foreign-keys&gt;&lt;key app="EN" db-id="s0atpdatursxxjedtv0xdt2h9fffeewxee2t" timestamp="1518223810"&gt;2455&lt;/key&gt;&lt;/foreign-keys&gt;&lt;ref-type name="Book"&gt;6&lt;/ref-type&gt;&lt;contributors&gt;&lt;authors&gt;&lt;author&gt;Cánovas, A.C.&lt;/author&gt;&lt;/authors&gt;&lt;/contributors&gt;&lt;titles&gt;&lt;title&gt;Logística internacional: Una herramienta para la competitividad&lt;/title&gt;&lt;/titles&gt;&lt;dates&gt;&lt;year&gt;2014&lt;/year&gt;&lt;/dates&gt;&lt;publisher&gt;Icex España Exportación e Inversiones&lt;/publisher&gt;&lt;isbn&gt;9788478117758&lt;/isbn&gt;&lt;urls&gt;&lt;related-urls&gt;&lt;url&gt;https://books.google.com.co/books?id=NhHKAwAAQBAJ&lt;/url&gt;&lt;/related-urls&gt;&lt;/urls&gt;&lt;/record&gt;&lt;/Cite&gt;&lt;/EndNote&gt;</w:instrText>
            </w:r>
            <w:r w:rsidRPr="00C47CE9">
              <w:rPr>
                <w:rFonts w:ascii="Arial" w:hAnsi="Arial" w:cs="Arial"/>
                <w:sz w:val="22"/>
              </w:rPr>
              <w:fldChar w:fldCharType="separate"/>
            </w:r>
            <w:r w:rsidRPr="00C47CE9">
              <w:rPr>
                <w:rFonts w:ascii="Arial" w:hAnsi="Arial" w:cs="Arial"/>
                <w:sz w:val="22"/>
              </w:rPr>
              <w:t>(Cánovas, 2014)</w:t>
            </w:r>
            <w:r w:rsidRPr="00C47CE9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93D7CD8" w14:textId="00212F4F" w:rsidR="00E31963" w:rsidRDefault="00E31963" w:rsidP="00AE2C2E">
      <w:pPr>
        <w:jc w:val="center"/>
      </w:pPr>
    </w:p>
    <w:sectPr w:rsidR="00E31963" w:rsidSect="004D2F5B">
      <w:headerReference w:type="default" r:id="rId9"/>
      <w:footerReference w:type="default" r:id="rId10"/>
      <w:pgSz w:w="15840" w:h="12240"/>
      <w:pgMar w:top="0" w:right="1133" w:bottom="444" w:left="1133" w:header="0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CA2B" w14:textId="77777777" w:rsidR="00F375C0" w:rsidRDefault="00F375C0">
      <w:r>
        <w:separator/>
      </w:r>
    </w:p>
  </w:endnote>
  <w:endnote w:type="continuationSeparator" w:id="0">
    <w:p w14:paraId="07A2A82C" w14:textId="77777777" w:rsidR="00F375C0" w:rsidRDefault="00F3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15C65" w14:textId="77777777" w:rsidR="00F375C0" w:rsidRDefault="00F375C0">
      <w:r>
        <w:separator/>
      </w:r>
    </w:p>
  </w:footnote>
  <w:footnote w:type="continuationSeparator" w:id="0">
    <w:p w14:paraId="42E1CA3A" w14:textId="77777777" w:rsidR="00F375C0" w:rsidRDefault="00F375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5699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                                         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0" hidden="0" allowOverlap="1" wp14:anchorId="1D214B1C" wp14:editId="214B3117">
          <wp:simplePos x="0" y="0"/>
          <wp:positionH relativeFrom="margin">
            <wp:posOffset>3913822</wp:posOffset>
          </wp:positionH>
          <wp:positionV relativeFrom="paragraph">
            <wp:posOffset>400050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B0B6B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>UNIVERSIDAD MILITAR NUEVA GRANADA</w:t>
    </w:r>
  </w:p>
  <w:p w14:paraId="5351C78F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>Generación de Contenidos VIDEO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8D9"/>
    <w:multiLevelType w:val="hybridMultilevel"/>
    <w:tmpl w:val="C848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5A5"/>
    <w:multiLevelType w:val="hybridMultilevel"/>
    <w:tmpl w:val="96FE0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39D7"/>
    <w:multiLevelType w:val="hybridMultilevel"/>
    <w:tmpl w:val="43E03C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4E80"/>
    <w:multiLevelType w:val="hybridMultilevel"/>
    <w:tmpl w:val="C5807184"/>
    <w:lvl w:ilvl="0" w:tplc="0E9A8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D62A8F"/>
    <w:multiLevelType w:val="multilevel"/>
    <w:tmpl w:val="F5B48B64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3697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B442177"/>
    <w:multiLevelType w:val="multilevel"/>
    <w:tmpl w:val="F758A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140BF"/>
    <w:rsid w:val="00051F3B"/>
    <w:rsid w:val="000911AB"/>
    <w:rsid w:val="000C72A3"/>
    <w:rsid w:val="000D5764"/>
    <w:rsid w:val="000F3EDC"/>
    <w:rsid w:val="0011125E"/>
    <w:rsid w:val="0017404C"/>
    <w:rsid w:val="001C7E5B"/>
    <w:rsid w:val="001E375E"/>
    <w:rsid w:val="0026707B"/>
    <w:rsid w:val="0028179F"/>
    <w:rsid w:val="002C1261"/>
    <w:rsid w:val="002F06A6"/>
    <w:rsid w:val="00300B6C"/>
    <w:rsid w:val="00343757"/>
    <w:rsid w:val="003A210F"/>
    <w:rsid w:val="003F2AE1"/>
    <w:rsid w:val="003F4354"/>
    <w:rsid w:val="00416C85"/>
    <w:rsid w:val="00434548"/>
    <w:rsid w:val="00435BD6"/>
    <w:rsid w:val="00442EF8"/>
    <w:rsid w:val="004D00B1"/>
    <w:rsid w:val="004D2F5B"/>
    <w:rsid w:val="004F17BF"/>
    <w:rsid w:val="00501E83"/>
    <w:rsid w:val="0050299A"/>
    <w:rsid w:val="005142DD"/>
    <w:rsid w:val="0051755D"/>
    <w:rsid w:val="00523025"/>
    <w:rsid w:val="00573B4C"/>
    <w:rsid w:val="005A0683"/>
    <w:rsid w:val="005A6B2A"/>
    <w:rsid w:val="005B5EDD"/>
    <w:rsid w:val="00650DE5"/>
    <w:rsid w:val="00681C7D"/>
    <w:rsid w:val="00684676"/>
    <w:rsid w:val="006B375C"/>
    <w:rsid w:val="006C5F4F"/>
    <w:rsid w:val="00773DBE"/>
    <w:rsid w:val="00776651"/>
    <w:rsid w:val="007A5C2F"/>
    <w:rsid w:val="008152BA"/>
    <w:rsid w:val="008421A5"/>
    <w:rsid w:val="00845000"/>
    <w:rsid w:val="00854E95"/>
    <w:rsid w:val="00881D2C"/>
    <w:rsid w:val="008A57E4"/>
    <w:rsid w:val="008A75B0"/>
    <w:rsid w:val="008C200B"/>
    <w:rsid w:val="0096466A"/>
    <w:rsid w:val="009A395C"/>
    <w:rsid w:val="009B50DF"/>
    <w:rsid w:val="009B55F2"/>
    <w:rsid w:val="009D01AB"/>
    <w:rsid w:val="009D3C70"/>
    <w:rsid w:val="00A25FAD"/>
    <w:rsid w:val="00A27C8A"/>
    <w:rsid w:val="00A7628E"/>
    <w:rsid w:val="00AE2C2E"/>
    <w:rsid w:val="00AF2921"/>
    <w:rsid w:val="00B00444"/>
    <w:rsid w:val="00B14441"/>
    <w:rsid w:val="00B76624"/>
    <w:rsid w:val="00B82E6E"/>
    <w:rsid w:val="00BB01F2"/>
    <w:rsid w:val="00C03A69"/>
    <w:rsid w:val="00C46342"/>
    <w:rsid w:val="00C4659F"/>
    <w:rsid w:val="00C47CE9"/>
    <w:rsid w:val="00C62102"/>
    <w:rsid w:val="00C860D3"/>
    <w:rsid w:val="00C95173"/>
    <w:rsid w:val="00CC366C"/>
    <w:rsid w:val="00D76471"/>
    <w:rsid w:val="00DA0F3E"/>
    <w:rsid w:val="00E31963"/>
    <w:rsid w:val="00E326A2"/>
    <w:rsid w:val="00E432B8"/>
    <w:rsid w:val="00E62036"/>
    <w:rsid w:val="00E668FA"/>
    <w:rsid w:val="00EC14AA"/>
    <w:rsid w:val="00F375C0"/>
    <w:rsid w:val="00F412EB"/>
    <w:rsid w:val="00FA0026"/>
    <w:rsid w:val="00FB5B8A"/>
    <w:rsid w:val="00FD2134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C6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3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7BF"/>
    <w:rPr>
      <w:rFonts w:asciiTheme="minorHAnsi" w:eastAsiaTheme="minorEastAsia" w:hAnsiTheme="minorHAnsi" w:cstheme="minorBidi"/>
      <w:color w:val="auto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F17B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C6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3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7BF"/>
    <w:rPr>
      <w:rFonts w:asciiTheme="minorHAnsi" w:eastAsiaTheme="minorEastAsia" w:hAnsiTheme="minorHAnsi" w:cstheme="minorBidi"/>
      <w:color w:val="auto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F1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Silvia Blanco</cp:lastModifiedBy>
  <cp:revision>5</cp:revision>
  <dcterms:created xsi:type="dcterms:W3CDTF">2018-05-25T23:35:00Z</dcterms:created>
  <dcterms:modified xsi:type="dcterms:W3CDTF">2018-07-20T15:14:00Z</dcterms:modified>
</cp:coreProperties>
</file>