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2F73FD" w14:textId="77777777" w:rsidR="00A25FAD" w:rsidRDefault="00A25FAD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1A5E34AE" w14:textId="77777777" w:rsidR="007E1DD6" w:rsidRDefault="007E1DD6" w:rsidP="003A2DF1">
      <w:pPr>
        <w:rPr>
          <w:rFonts w:ascii="Arial" w:eastAsia="Arial" w:hAnsi="Arial" w:cs="Arial"/>
          <w:b/>
          <w:sz w:val="20"/>
          <w:szCs w:val="20"/>
        </w:rPr>
      </w:pPr>
    </w:p>
    <w:p w14:paraId="2B17C24A" w14:textId="77777777" w:rsidR="007E1DD6" w:rsidRDefault="007E1DD6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12DC8AC" w14:textId="77777777" w:rsidR="009A395C" w:rsidRDefault="009A395C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ESTRUCTURA GUIÓN</w:t>
      </w:r>
    </w:p>
    <w:p w14:paraId="25A7B805" w14:textId="77777777" w:rsidR="00343757" w:rsidRDefault="00343757" w:rsidP="009A395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E4B6C0A" w14:textId="77777777" w:rsidR="00343757" w:rsidRPr="0017404C" w:rsidRDefault="00343757" w:rsidP="009A395C">
      <w:pPr>
        <w:jc w:val="center"/>
        <w:rPr>
          <w:sz w:val="11"/>
        </w:rPr>
      </w:pPr>
    </w:p>
    <w:p w14:paraId="07D2DBFF" w14:textId="77777777" w:rsidR="002F06A6" w:rsidRPr="0017404C" w:rsidRDefault="002F06A6">
      <w:pPr>
        <w:rPr>
          <w:sz w:val="11"/>
        </w:rPr>
      </w:pPr>
    </w:p>
    <w:tbl>
      <w:tblPr>
        <w:tblStyle w:val="a"/>
        <w:tblpPr w:leftFromText="180" w:rightFromText="180" w:vertAnchor="text" w:horzAnchor="page" w:tblpX="1275" w:tblpY="27"/>
        <w:tblW w:w="131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6378"/>
        <w:gridCol w:w="5103"/>
        <w:gridCol w:w="143"/>
      </w:tblGrid>
      <w:tr w:rsidR="00343757" w:rsidRPr="007E1DD6" w14:paraId="7FEB4BB3" w14:textId="77777777" w:rsidTr="003A2DF1">
        <w:trPr>
          <w:gridAfter w:val="1"/>
          <w:wAfter w:w="143" w:type="dxa"/>
          <w:trHeight w:val="1079"/>
        </w:trPr>
        <w:tc>
          <w:tcPr>
            <w:tcW w:w="15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597708AD" w14:textId="77777777" w:rsidR="00343757" w:rsidRPr="007E1DD6" w:rsidRDefault="00343757" w:rsidP="007E1DD6">
            <w:pPr>
              <w:spacing w:before="100" w:beforeAutospacing="1" w:after="100" w:afterAutospacing="1"/>
              <w:ind w:left="-567"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eastAsia="Arial" w:hAnsi="Arial" w:cs="Arial"/>
                <w:b/>
                <w:sz w:val="22"/>
                <w:szCs w:val="22"/>
              </w:rPr>
              <w:t>Estructura</w:t>
            </w:r>
          </w:p>
        </w:tc>
        <w:tc>
          <w:tcPr>
            <w:tcW w:w="637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234366" w14:textId="77777777" w:rsidR="00343757" w:rsidRPr="007E1DD6" w:rsidRDefault="00343757" w:rsidP="007E1D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ayks2xetvt89" w:colFirst="0" w:colLast="0"/>
            <w:bookmarkStart w:id="1" w:name="_qnoaic9t7c30" w:colFirst="0" w:colLast="0"/>
            <w:bookmarkEnd w:id="0"/>
            <w:bookmarkEnd w:id="1"/>
            <w:r w:rsidRPr="007E1DD6">
              <w:rPr>
                <w:rFonts w:ascii="Arial" w:eastAsia="Arial" w:hAnsi="Arial" w:cs="Arial"/>
                <w:b/>
                <w:sz w:val="22"/>
                <w:szCs w:val="22"/>
              </w:rPr>
              <w:t>Pantalla (Gráficos, imagen del profesor, presentación o animación)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D7672" w14:textId="54CEA7A1" w:rsidR="00343757" w:rsidRPr="007E1DD6" w:rsidRDefault="00343757" w:rsidP="007E1D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eastAsia="Arial" w:hAnsi="Arial" w:cs="Arial"/>
                <w:b/>
                <w:sz w:val="22"/>
                <w:szCs w:val="22"/>
              </w:rPr>
              <w:t>Descripción pantalla (Acciones que interactúan con lo que está en pantalla)</w:t>
            </w:r>
          </w:p>
        </w:tc>
      </w:tr>
      <w:tr w:rsidR="00343757" w:rsidRPr="007E1DD6" w14:paraId="185B151F" w14:textId="77777777" w:rsidTr="003A2DF1">
        <w:trPr>
          <w:gridAfter w:val="1"/>
          <w:wAfter w:w="143" w:type="dxa"/>
          <w:trHeight w:val="4353"/>
        </w:trPr>
        <w:tc>
          <w:tcPr>
            <w:tcW w:w="15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</w:tcPr>
          <w:p w14:paraId="2735B40E" w14:textId="7F162516" w:rsidR="00343757" w:rsidRPr="007E1DD6" w:rsidRDefault="00343757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eastAsia="Arial" w:hAnsi="Arial" w:cs="Arial"/>
                <w:b/>
                <w:sz w:val="22"/>
                <w:szCs w:val="22"/>
              </w:rPr>
              <w:t>Introducción</w:t>
            </w:r>
          </w:p>
        </w:tc>
        <w:tc>
          <w:tcPr>
            <w:tcW w:w="637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27D01D" w14:textId="1C997DDE" w:rsidR="002A2BBF" w:rsidRDefault="00AD2336" w:rsidP="007E1DD6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2" w:name="_gjdgxs" w:colFirst="0" w:colLast="0"/>
            <w:bookmarkEnd w:id="2"/>
            <w:r w:rsidRP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Diseñar </w:t>
            </w:r>
            <w:r w:rsid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>interactividad como la</w:t>
            </w:r>
            <w:r w:rsidRP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la referencia. A</w:t>
            </w:r>
            <w:r w:rsidR="002A2BBF" w:rsidRP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l dar clic sobre el canal de distribución, </w:t>
            </w:r>
            <w:r w:rsid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>aparece la información respectiva</w:t>
            </w:r>
            <w:r w:rsidR="002A2BBF" w:rsidRPr="003A2D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 </w:t>
            </w:r>
          </w:p>
          <w:p w14:paraId="2A35842F" w14:textId="77777777" w:rsidR="003A2DF1" w:rsidRDefault="003A2DF1" w:rsidP="007E1DD6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21CCD5F" w14:textId="4FF8BF4F" w:rsidR="003A2DF1" w:rsidRPr="003A2DF1" w:rsidRDefault="003A2DF1" w:rsidP="007E1DD6">
            <w:pPr>
              <w:snapToGri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Título: </w:t>
            </w:r>
            <w:r w:rsidRPr="003A2DF1">
              <w:rPr>
                <w:rFonts w:ascii="Arial" w:hAnsi="Arial" w:cs="Arial"/>
                <w:b/>
                <w:color w:val="auto"/>
                <w:sz w:val="22"/>
                <w:szCs w:val="22"/>
              </w:rPr>
              <w:t>Canales de distribución</w:t>
            </w:r>
          </w:p>
          <w:p w14:paraId="684DFE10" w14:textId="77777777" w:rsidR="00343757" w:rsidRPr="007E1DD6" w:rsidRDefault="00343757" w:rsidP="007E1DD6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477E688B" w14:textId="77777777" w:rsidR="00343757" w:rsidRDefault="003A2DF1" w:rsidP="00AD2336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065A3B90" wp14:editId="7239D2F6">
                  <wp:extent cx="2311186" cy="1093387"/>
                  <wp:effectExtent l="0" t="0" r="635" b="0"/>
                  <wp:docPr id="12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186" cy="1093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7D6D7E" w14:textId="77777777" w:rsidR="003A2DF1" w:rsidRDefault="003A2DF1" w:rsidP="00AD2336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0DF89D4C" w14:textId="0407848B" w:rsidR="003A2DF1" w:rsidRPr="00AD2336" w:rsidRDefault="003A2DF1" w:rsidP="00AD2336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r w:rsidRPr="003A2DF1">
              <w:rPr>
                <w:rFonts w:ascii="Arial" w:hAnsi="Arial" w:cs="Arial"/>
                <w:color w:val="FF0000"/>
                <w:sz w:val="22"/>
                <w:szCs w:val="22"/>
              </w:rPr>
              <w:t>Instrucción: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>Haga clic sobre cada ítem con el fin de conocer los canales de distribución.</w:t>
            </w:r>
          </w:p>
        </w:tc>
        <w:tc>
          <w:tcPr>
            <w:tcW w:w="51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49654E" w14:textId="02C017D0" w:rsidR="002A2BBF" w:rsidRPr="003A2DF1" w:rsidRDefault="002A2BBF" w:rsidP="007E1DD6">
            <w:pPr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2DF1">
              <w:rPr>
                <w:rFonts w:ascii="Arial" w:hAnsi="Arial" w:cs="Arial"/>
                <w:color w:val="FF0000"/>
                <w:sz w:val="22"/>
                <w:szCs w:val="22"/>
              </w:rPr>
              <w:t xml:space="preserve">Al dar clic sobre el canal,  aparezca una ventana adicional mostrando la definición o concepto del mismo. </w:t>
            </w:r>
          </w:p>
          <w:p w14:paraId="338C06C3" w14:textId="7BEE1940" w:rsidR="00343757" w:rsidRPr="007E1DD6" w:rsidRDefault="00343757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422D0D" w14:textId="4C056968" w:rsidR="006B375C" w:rsidRPr="007E1DD6" w:rsidRDefault="006B375C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757" w:rsidRPr="007E1DD6" w14:paraId="7B201482" w14:textId="77777777" w:rsidTr="007E1DD6">
        <w:trPr>
          <w:trHeight w:val="4088"/>
        </w:trPr>
        <w:tc>
          <w:tcPr>
            <w:tcW w:w="1575" w:type="dxa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vAlign w:val="center"/>
          </w:tcPr>
          <w:p w14:paraId="7945FA69" w14:textId="1318AB45" w:rsidR="00343757" w:rsidRPr="007E1DD6" w:rsidRDefault="00343757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Cuerpo o desarrollo de la idea.</w:t>
            </w:r>
          </w:p>
          <w:p w14:paraId="0CA4782C" w14:textId="77777777" w:rsidR="00343757" w:rsidRPr="007E1DD6" w:rsidRDefault="00343757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A2E45D" w14:textId="77777777" w:rsidR="00343757" w:rsidRPr="007E1DD6" w:rsidRDefault="00343757" w:rsidP="007E1D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eastAsia="Arial" w:hAnsi="Arial" w:cs="Arial"/>
                <w:sz w:val="22"/>
                <w:szCs w:val="22"/>
              </w:rPr>
              <w:t>(Número aproximado de palabras: 400 - 500)</w:t>
            </w:r>
          </w:p>
          <w:p w14:paraId="301F75FD" w14:textId="77777777" w:rsidR="00343757" w:rsidRPr="007E1DD6" w:rsidRDefault="00343757" w:rsidP="007E1D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4" w:type="dxa"/>
            <w:gridSpan w:val="3"/>
            <w:tcBorders>
              <w:top w:val="single" w:sz="6" w:space="0" w:color="9E9E9E"/>
              <w:left w:val="single" w:sz="6" w:space="0" w:color="9E9E9E"/>
              <w:bottom w:val="single" w:sz="4" w:space="0" w:color="000000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27686C" w14:textId="49856ADF" w:rsidR="002A2BBF" w:rsidRPr="007E1DD6" w:rsidRDefault="002A2BBF" w:rsidP="007E1DD6">
            <w:pPr>
              <w:pStyle w:val="Heading2"/>
              <w:ind w:left="576" w:hanging="576"/>
              <w:jc w:val="left"/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</w:pPr>
            <w:bookmarkStart w:id="4" w:name="_Toc505538363"/>
            <w:bookmarkStart w:id="5" w:name="_Toc507576312"/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 xml:space="preserve">Canal </w:t>
            </w:r>
            <w:r w:rsidR="00DA64AF"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d</w:t>
            </w:r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irecto</w:t>
            </w:r>
            <w:bookmarkEnd w:id="4"/>
            <w:bookmarkEnd w:id="5"/>
          </w:p>
          <w:p w14:paraId="57DDE90D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26E30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A18CE" w14:textId="5B0444F6" w:rsidR="002A2BBF" w:rsidRPr="007E1DD6" w:rsidRDefault="002A2BBF" w:rsidP="007E1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hAnsi="Arial" w:cs="Arial"/>
                <w:sz w:val="22"/>
                <w:szCs w:val="22"/>
              </w:rPr>
              <w:t xml:space="preserve">El canal directo de comercialización no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se da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en el mercado internacional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por cuanto las empresas generalmente contactan </w:t>
            </w:r>
            <w:r w:rsidR="007E1DD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otras firmas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de amplio reconocimiento en la comercialización i</w:t>
            </w:r>
            <w:r w:rsidRPr="007E1DD6">
              <w:rPr>
                <w:rFonts w:ascii="Arial" w:hAnsi="Arial" w:cs="Arial"/>
                <w:sz w:val="22"/>
                <w:szCs w:val="22"/>
              </w:rPr>
              <w:t>nternacional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que compran al por mayor los productos en el país de origen. Sin embargo, cuando la empresa tiene sucursales o puntos de venta en los países de destino, el canal directo representa una opción frecuente, en el sentido </w:t>
            </w:r>
            <w:r w:rsidR="008C6F92" w:rsidRPr="007E1DD6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7E1DD6">
              <w:rPr>
                <w:rFonts w:ascii="Arial" w:hAnsi="Arial" w:cs="Arial"/>
                <w:sz w:val="22"/>
                <w:szCs w:val="22"/>
              </w:rPr>
              <w:t>que este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se define como la venta de la fábrica o empresa directamente al cliente final o consumidor</w:t>
            </w:r>
            <w:r w:rsid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sin tener que recurrir a intermediarios</w:t>
            </w:r>
            <w:r w:rsidR="007E1DD6">
              <w:rPr>
                <w:rFonts w:ascii="Arial" w:hAnsi="Arial" w:cs="Arial"/>
                <w:sz w:val="22"/>
                <w:szCs w:val="22"/>
              </w:rPr>
              <w:t>;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por lo tanto, el precio final</w:t>
            </w:r>
            <w:r w:rsidR="008C6F92" w:rsidRPr="007E1DD6">
              <w:rPr>
                <w:rFonts w:ascii="Arial" w:hAnsi="Arial" w:cs="Arial"/>
                <w:sz w:val="22"/>
                <w:szCs w:val="22"/>
              </w:rPr>
              <w:t xml:space="preserve"> que paga el consumidor </w:t>
            </w:r>
            <w:r w:rsidRPr="007E1DD6">
              <w:rPr>
                <w:rFonts w:ascii="Arial" w:hAnsi="Arial" w:cs="Arial"/>
                <w:sz w:val="22"/>
                <w:szCs w:val="22"/>
              </w:rPr>
              <w:t>es menor que cuando se emplean otros canales de distribución o comercialización.</w:t>
            </w:r>
          </w:p>
          <w:p w14:paraId="74E935C8" w14:textId="77777777" w:rsidR="002A2BBF" w:rsidRPr="007E1DD6" w:rsidRDefault="002A2BBF" w:rsidP="007E1DD6">
            <w:pPr>
              <w:pStyle w:val="Heading2"/>
              <w:rPr>
                <w:b w:val="0"/>
                <w:bCs/>
                <w:i/>
                <w:iCs/>
                <w:spacing w:val="15"/>
                <w:sz w:val="22"/>
                <w:szCs w:val="22"/>
              </w:rPr>
            </w:pPr>
            <w:bookmarkStart w:id="6" w:name="_Toc505538364"/>
            <w:bookmarkStart w:id="7" w:name="_Toc507576313"/>
          </w:p>
          <w:p w14:paraId="2EE669EF" w14:textId="6D128D78" w:rsidR="002A2BBF" w:rsidRPr="007E1DD6" w:rsidRDefault="002A2BBF" w:rsidP="007E1DD6">
            <w:pPr>
              <w:pStyle w:val="Heading2"/>
              <w:jc w:val="left"/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</w:pPr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 xml:space="preserve">Canal </w:t>
            </w:r>
            <w:r w:rsidR="00DA64AF"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d</w:t>
            </w:r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etallista</w:t>
            </w:r>
            <w:bookmarkEnd w:id="6"/>
            <w:bookmarkEnd w:id="7"/>
          </w:p>
          <w:p w14:paraId="587ABA28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4838B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764BC" w14:textId="384EBFD1" w:rsidR="002A2BBF" w:rsidRPr="007E1DD6" w:rsidRDefault="002A2BBF" w:rsidP="007E1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hAnsi="Arial" w:cs="Arial"/>
                <w:sz w:val="22"/>
                <w:szCs w:val="22"/>
              </w:rPr>
              <w:t>El canal detallista consiste en hacer llegar los productos no directamente al consumidor o cliente final, sino que se realiza por intermed</w:t>
            </w:r>
            <w:r w:rsidR="007E1DD6">
              <w:rPr>
                <w:rFonts w:ascii="Arial" w:hAnsi="Arial" w:cs="Arial"/>
                <w:sz w:val="22"/>
                <w:szCs w:val="22"/>
              </w:rPr>
              <w:t>io de otras empresas minoristas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. Este también es un canal muy frecuente en el mercado interno o doméstico,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pero</w:t>
            </w:r>
            <w:r w:rsidR="007E1DD6">
              <w:rPr>
                <w:rFonts w:ascii="Arial" w:hAnsi="Arial" w:cs="Arial"/>
                <w:sz w:val="22"/>
                <w:szCs w:val="22"/>
              </w:rPr>
              <w:t xml:space="preserve"> poco empleado en </w:t>
            </w:r>
            <w:r w:rsidRPr="007E1DD6">
              <w:rPr>
                <w:rFonts w:ascii="Arial" w:hAnsi="Arial" w:cs="Arial"/>
                <w:sz w:val="22"/>
                <w:szCs w:val="22"/>
              </w:rPr>
              <w:t>el mercado internacional a excepción de la existencia de sucursales o puntos de venta en el país de destino.</w:t>
            </w:r>
          </w:p>
          <w:p w14:paraId="31C13A89" w14:textId="77777777" w:rsidR="002A2BBF" w:rsidRPr="007E1DD6" w:rsidRDefault="002A2BBF" w:rsidP="007E1DD6">
            <w:pPr>
              <w:pStyle w:val="Heading2"/>
              <w:jc w:val="left"/>
              <w:rPr>
                <w:b w:val="0"/>
                <w:bCs/>
                <w:i/>
                <w:iCs/>
                <w:spacing w:val="15"/>
                <w:sz w:val="22"/>
                <w:szCs w:val="22"/>
              </w:rPr>
            </w:pPr>
            <w:bookmarkStart w:id="8" w:name="_Toc505538365"/>
            <w:bookmarkStart w:id="9" w:name="_Toc507576314"/>
          </w:p>
          <w:p w14:paraId="71602FE0" w14:textId="7BCA2415" w:rsidR="002A2BBF" w:rsidRPr="007E1DD6" w:rsidRDefault="002A2BBF" w:rsidP="007E1DD6">
            <w:pPr>
              <w:pStyle w:val="Heading2"/>
              <w:jc w:val="left"/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</w:pPr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Can</w:t>
            </w:r>
            <w:r w:rsidR="00DA64AF"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al m</w:t>
            </w:r>
            <w:r w:rsidRPr="007E1DD6">
              <w:rPr>
                <w:rFonts w:eastAsia="Cambria"/>
                <w:bCs/>
                <w:i/>
                <w:iCs/>
                <w:color w:val="4F81BD"/>
                <w:spacing w:val="15"/>
                <w:sz w:val="22"/>
                <w:szCs w:val="22"/>
              </w:rPr>
              <w:t>ayorista</w:t>
            </w:r>
            <w:bookmarkEnd w:id="8"/>
            <w:bookmarkEnd w:id="9"/>
          </w:p>
          <w:p w14:paraId="12198B54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2DF2B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863A9" w14:textId="19932B95" w:rsidR="002A2BBF" w:rsidRPr="007E1DD6" w:rsidRDefault="002A2BBF" w:rsidP="007E1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hAnsi="Arial" w:cs="Arial"/>
                <w:sz w:val="22"/>
                <w:szCs w:val="22"/>
              </w:rPr>
              <w:t xml:space="preserve">El canal mayorista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 xml:space="preserve">es el que 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presenta la venta desde la empresa fabricante a un comprador mayorista, el cual posiblemente lo distribuirá a minoristas, y estos últimos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llegarán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directamente al consumidor final. Cabe resaltar que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en la medida que se haga uso de más canales de distribución, cada uno de los canales que intervienen en el proceso, incrementa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rán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el precio con los beneficios que desean obtener por su intervención en la distribución de productos o servicios.</w:t>
            </w:r>
          </w:p>
          <w:p w14:paraId="1BC8B4B7" w14:textId="77777777" w:rsidR="007E1DD6" w:rsidRDefault="007E1DD6" w:rsidP="007E1DD6">
            <w:pPr>
              <w:pStyle w:val="Heading3"/>
              <w:rPr>
                <w:rFonts w:ascii="Arial" w:hAnsi="Arial" w:cs="Arial"/>
                <w:bCs/>
                <w:i/>
                <w:iCs/>
                <w:spacing w:val="15"/>
                <w:sz w:val="22"/>
                <w:szCs w:val="22"/>
              </w:rPr>
            </w:pPr>
            <w:bookmarkStart w:id="10" w:name="_Toc505538366"/>
            <w:bookmarkStart w:id="11" w:name="_Toc507576315"/>
          </w:p>
          <w:p w14:paraId="54545217" w14:textId="616932A4" w:rsidR="002A2BBF" w:rsidRPr="007E1DD6" w:rsidRDefault="00DA64AF" w:rsidP="007E1DD6">
            <w:pPr>
              <w:pStyle w:val="Heading3"/>
              <w:rPr>
                <w:rFonts w:ascii="Arial" w:hAnsi="Arial" w:cs="Arial"/>
                <w:bCs/>
                <w:i/>
                <w:iCs/>
                <w:smallCaps/>
                <w:spacing w:val="15"/>
                <w:sz w:val="22"/>
                <w:szCs w:val="22"/>
              </w:rPr>
            </w:pPr>
            <w:r w:rsidRPr="007E1DD6">
              <w:rPr>
                <w:rFonts w:ascii="Arial" w:hAnsi="Arial" w:cs="Arial"/>
                <w:bCs/>
                <w:i/>
                <w:iCs/>
                <w:spacing w:val="15"/>
                <w:sz w:val="22"/>
                <w:szCs w:val="22"/>
              </w:rPr>
              <w:lastRenderedPageBreak/>
              <w:t>Canal agente-i</w:t>
            </w:r>
            <w:r w:rsidR="002A2BBF" w:rsidRPr="007E1DD6">
              <w:rPr>
                <w:rFonts w:ascii="Arial" w:hAnsi="Arial" w:cs="Arial"/>
                <w:bCs/>
                <w:i/>
                <w:iCs/>
                <w:spacing w:val="15"/>
                <w:sz w:val="22"/>
                <w:szCs w:val="22"/>
              </w:rPr>
              <w:t>ntermediario</w:t>
            </w:r>
            <w:bookmarkEnd w:id="10"/>
            <w:bookmarkEnd w:id="11"/>
          </w:p>
          <w:p w14:paraId="41DE1465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150F0" w14:textId="77777777" w:rsidR="002A2BBF" w:rsidRPr="007E1DD6" w:rsidRDefault="002A2BBF" w:rsidP="007E1D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6B64E" w14:textId="3B7E2A23" w:rsidR="00DA64AF" w:rsidRDefault="002A2BBF" w:rsidP="007E1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hAnsi="Arial" w:cs="Arial"/>
                <w:sz w:val="22"/>
                <w:szCs w:val="22"/>
              </w:rPr>
              <w:t>El canal agente intermediario es el más frecuente en la distribución o comercialización de productos en el ámbito internacional. Generalmente</w:t>
            </w:r>
            <w:r w:rsid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las grandes empresas comercializadoras tienen representantes en diferentes países, los cuales h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acen contacto con las firmas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productoras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se encargan de contactar a los mayoristas o grandes demandantes en países de destino, incorporándose un nuevo canal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que integra el proceso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desde la fábrica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hasta el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consumidor final. </w:t>
            </w:r>
          </w:p>
          <w:p w14:paraId="722347F8" w14:textId="77777777" w:rsidR="007E1DD6" w:rsidRPr="007E1DD6" w:rsidRDefault="007E1DD6" w:rsidP="007E1D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B74E4" w14:textId="417D929E" w:rsidR="00343757" w:rsidRPr="007E1DD6" w:rsidRDefault="002A2BBF" w:rsidP="001674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DD6">
              <w:rPr>
                <w:rFonts w:ascii="Arial" w:hAnsi="Arial" w:cs="Arial"/>
                <w:sz w:val="22"/>
                <w:szCs w:val="22"/>
              </w:rPr>
              <w:t xml:space="preserve">El proceso es el siguiente: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e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l agente contacta a la comercializadora mayorista y por su intermedio se realiza un convenio con la empresa fabricante, cobrando unos honorarios por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el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conocimiento que tiene con respecto al mercado, los productos y las empresas que lo requieren para me</w:t>
            </w:r>
            <w:r w:rsidR="007E1DD6">
              <w:rPr>
                <w:rFonts w:ascii="Arial" w:hAnsi="Arial" w:cs="Arial"/>
                <w:sz w:val="22"/>
                <w:szCs w:val="22"/>
              </w:rPr>
              <w:t>rcadear. Este canal extra largo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genera muchos costos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los cuales finalmente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son asumidos por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el consumidor final,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elevando el precio del producto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 xml:space="preserve">haciéndolo 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poco competitivo, especialmente en el mercado doméstico, 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pero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no a nivel internacional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>,</w:t>
            </w:r>
            <w:r w:rsidRPr="007E1DD6">
              <w:rPr>
                <w:rFonts w:ascii="Arial" w:hAnsi="Arial" w:cs="Arial"/>
                <w:sz w:val="22"/>
                <w:szCs w:val="22"/>
              </w:rPr>
              <w:t xml:space="preserve"> por cuanto las ventajas comparativas y competitivas del producto</w:t>
            </w:r>
            <w:r w:rsidR="007E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DD6">
              <w:rPr>
                <w:rFonts w:ascii="Arial" w:hAnsi="Arial" w:cs="Arial"/>
                <w:sz w:val="22"/>
                <w:szCs w:val="22"/>
              </w:rPr>
              <w:t>necesariamente involucran costos adicionales donde el consumidor final está dispuesto a pagar</w:t>
            </w:r>
            <w:r w:rsidR="00DA64AF" w:rsidRPr="007E1DD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E1DD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E1DD6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&lt;EndNote&gt;&lt;Cite&gt;&lt;Author&gt;Mercado&lt;/Author&gt;&lt;Year&gt;2000&lt;/Year&gt;&lt;RecNum&gt;2452&lt;/RecNum&gt;&lt;DisplayText&gt;(Mercado, 2000)&lt;/DisplayText&gt;&lt;record&gt;&lt;rec-number&gt;2452&lt;/rec-number&gt;&lt;foreign-keys&gt;&lt;key app="EN" db-id="s0atpdatursxxjedtv0xdt2h9fffeewxee2t" timestamp="1518203799"&gt;2452&lt;/key&gt;&lt;/foreign-keys&gt;&lt;ref-type name="Book"&gt;6&lt;/ref-type&gt;&lt;contributors&gt;&lt;authors&gt;&lt;author&gt;Mercado, S.&lt;/author&gt;&lt;/authors&gt;&lt;/contributors&gt;&lt;titles&gt;&lt;title&gt;Comercio internacional&lt;/title&gt;&lt;/titles&gt;&lt;dates&gt;&lt;year&gt;2000&lt;/year&gt;&lt;/dates&gt;&lt;publisher&gt;Editorial Limusa S.A. De C.V.&lt;/publisher&gt;&lt;isbn&gt;9789681860585&lt;/isbn&gt;&lt;urls&gt;&lt;related-urls&gt;&lt;url&gt;https://books.google.com.co/books?id=YHMWIynwS0cC&lt;/url&gt;&lt;/related-urls&gt;&lt;/urls&gt;&lt;/record&gt;&lt;/Cite&gt;&lt;/EndNote&gt;</w:instrText>
            </w:r>
            <w:r w:rsidRPr="007E1D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1DD6">
              <w:rPr>
                <w:rFonts w:ascii="Arial" w:hAnsi="Arial" w:cs="Arial"/>
                <w:sz w:val="22"/>
                <w:szCs w:val="22"/>
              </w:rPr>
              <w:t>(Mercado, 2000)</w:t>
            </w:r>
            <w:r w:rsidRPr="007E1D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1D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93D7CD8" w14:textId="77777777" w:rsidR="00E31963" w:rsidRDefault="00E31963" w:rsidP="00AE2C2E">
      <w:pPr>
        <w:jc w:val="center"/>
      </w:pPr>
    </w:p>
    <w:sectPr w:rsidR="00E31963" w:rsidSect="004D2F5B">
      <w:headerReference w:type="default" r:id="rId9"/>
      <w:footerReference w:type="default" r:id="rId10"/>
      <w:pgSz w:w="15840" w:h="12240"/>
      <w:pgMar w:top="0" w:right="1133" w:bottom="444" w:left="1133" w:header="0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E5CB7" w14:textId="77777777" w:rsidR="00C45295" w:rsidRDefault="00C45295">
      <w:r>
        <w:separator/>
      </w:r>
    </w:p>
  </w:endnote>
  <w:endnote w:type="continuationSeparator" w:id="0">
    <w:p w14:paraId="0E0695C2" w14:textId="77777777" w:rsidR="00C45295" w:rsidRDefault="00C4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5639" w14:textId="77777777" w:rsidR="00C45295" w:rsidRDefault="00C45295">
      <w:r>
        <w:separator/>
      </w:r>
    </w:p>
  </w:footnote>
  <w:footnote w:type="continuationSeparator" w:id="0">
    <w:p w14:paraId="4A2A7704" w14:textId="77777777" w:rsidR="00C45295" w:rsidRDefault="00C452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5699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                                         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0" hidden="0" allowOverlap="1" wp14:anchorId="1D214B1C" wp14:editId="214B3117">
          <wp:simplePos x="0" y="0"/>
          <wp:positionH relativeFrom="margin">
            <wp:posOffset>3913822</wp:posOffset>
          </wp:positionH>
          <wp:positionV relativeFrom="paragraph">
            <wp:posOffset>400050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DB0B6B" w14:textId="77777777" w:rsidR="00E31963" w:rsidRDefault="00650DE5">
    <w:pPr>
      <w:tabs>
        <w:tab w:val="center" w:pos="4419"/>
        <w:tab w:val="right" w:pos="8838"/>
      </w:tabs>
      <w:spacing w:before="720"/>
      <w:jc w:val="center"/>
    </w:pPr>
    <w:r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5351C78F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>Generación de Contenidos VIDEO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8D9"/>
    <w:multiLevelType w:val="hybridMultilevel"/>
    <w:tmpl w:val="C848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5A5"/>
    <w:multiLevelType w:val="hybridMultilevel"/>
    <w:tmpl w:val="96FE0A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39D7"/>
    <w:multiLevelType w:val="hybridMultilevel"/>
    <w:tmpl w:val="43E03C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2A8F"/>
    <w:multiLevelType w:val="multilevel"/>
    <w:tmpl w:val="F5B48B64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3697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7B442177"/>
    <w:multiLevelType w:val="multilevel"/>
    <w:tmpl w:val="F758A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140BF"/>
    <w:rsid w:val="00051F3B"/>
    <w:rsid w:val="000911AB"/>
    <w:rsid w:val="000C72A3"/>
    <w:rsid w:val="000D5764"/>
    <w:rsid w:val="000F3EDC"/>
    <w:rsid w:val="00167463"/>
    <w:rsid w:val="0017404C"/>
    <w:rsid w:val="001C7E5B"/>
    <w:rsid w:val="001E375E"/>
    <w:rsid w:val="00254C0C"/>
    <w:rsid w:val="002746F1"/>
    <w:rsid w:val="0028179F"/>
    <w:rsid w:val="002A2BBF"/>
    <w:rsid w:val="002C1261"/>
    <w:rsid w:val="002F06A6"/>
    <w:rsid w:val="00343757"/>
    <w:rsid w:val="003A210F"/>
    <w:rsid w:val="003A2DF1"/>
    <w:rsid w:val="003F2AE1"/>
    <w:rsid w:val="003F4354"/>
    <w:rsid w:val="00416C85"/>
    <w:rsid w:val="00434548"/>
    <w:rsid w:val="00435BD6"/>
    <w:rsid w:val="00442EF8"/>
    <w:rsid w:val="004D00B1"/>
    <w:rsid w:val="004D2F5B"/>
    <w:rsid w:val="004F17BF"/>
    <w:rsid w:val="00501E83"/>
    <w:rsid w:val="0050299A"/>
    <w:rsid w:val="0051755D"/>
    <w:rsid w:val="00523025"/>
    <w:rsid w:val="00570E3F"/>
    <w:rsid w:val="00573B4C"/>
    <w:rsid w:val="005A6B2A"/>
    <w:rsid w:val="005B5EDD"/>
    <w:rsid w:val="00650DE5"/>
    <w:rsid w:val="00681C7D"/>
    <w:rsid w:val="00684676"/>
    <w:rsid w:val="006B375C"/>
    <w:rsid w:val="006C5F4F"/>
    <w:rsid w:val="00773DBE"/>
    <w:rsid w:val="00776651"/>
    <w:rsid w:val="007A5C2F"/>
    <w:rsid w:val="007E1DD6"/>
    <w:rsid w:val="008152BA"/>
    <w:rsid w:val="00845000"/>
    <w:rsid w:val="00854E95"/>
    <w:rsid w:val="00881D2C"/>
    <w:rsid w:val="008A57E4"/>
    <w:rsid w:val="008A75B0"/>
    <w:rsid w:val="008C200B"/>
    <w:rsid w:val="008C6F92"/>
    <w:rsid w:val="0096466A"/>
    <w:rsid w:val="009A395C"/>
    <w:rsid w:val="009B50DF"/>
    <w:rsid w:val="009B55F2"/>
    <w:rsid w:val="009D01AB"/>
    <w:rsid w:val="009D3C70"/>
    <w:rsid w:val="00A25FAD"/>
    <w:rsid w:val="00A27C8A"/>
    <w:rsid w:val="00A7628E"/>
    <w:rsid w:val="00AD2336"/>
    <w:rsid w:val="00AE2C2E"/>
    <w:rsid w:val="00AF2921"/>
    <w:rsid w:val="00B00444"/>
    <w:rsid w:val="00B142D5"/>
    <w:rsid w:val="00B14441"/>
    <w:rsid w:val="00B82E6E"/>
    <w:rsid w:val="00BA08A8"/>
    <w:rsid w:val="00BB01F2"/>
    <w:rsid w:val="00C45295"/>
    <w:rsid w:val="00C46342"/>
    <w:rsid w:val="00C4659F"/>
    <w:rsid w:val="00C62102"/>
    <w:rsid w:val="00C860D3"/>
    <w:rsid w:val="00C95173"/>
    <w:rsid w:val="00CC366C"/>
    <w:rsid w:val="00D76471"/>
    <w:rsid w:val="00DA0F3E"/>
    <w:rsid w:val="00DA64AF"/>
    <w:rsid w:val="00E31963"/>
    <w:rsid w:val="00E326A2"/>
    <w:rsid w:val="00E432B8"/>
    <w:rsid w:val="00E62036"/>
    <w:rsid w:val="00E668FA"/>
    <w:rsid w:val="00EC14AA"/>
    <w:rsid w:val="00FA0026"/>
    <w:rsid w:val="00FB5B8A"/>
    <w:rsid w:val="00FD2134"/>
    <w:rsid w:val="00FE6476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C6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3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7BF"/>
    <w:rPr>
      <w:rFonts w:asciiTheme="minorHAnsi" w:eastAsiaTheme="minorEastAsia" w:hAnsiTheme="minorHAnsi" w:cstheme="minorBidi"/>
      <w:color w:val="auto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F17B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C62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3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7BF"/>
    <w:rPr>
      <w:rFonts w:asciiTheme="minorHAnsi" w:eastAsiaTheme="minorEastAsia" w:hAnsiTheme="minorHAnsi" w:cstheme="minorBidi"/>
      <w:color w:val="auto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F1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617</Words>
  <Characters>3517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Silvia Blanco</cp:lastModifiedBy>
  <cp:revision>9</cp:revision>
  <dcterms:created xsi:type="dcterms:W3CDTF">2018-03-07T03:07:00Z</dcterms:created>
  <dcterms:modified xsi:type="dcterms:W3CDTF">2018-07-20T16:15:00Z</dcterms:modified>
</cp:coreProperties>
</file>