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3684" w14:textId="77777777" w:rsidR="00C40874" w:rsidRDefault="00673C8C" w:rsidP="00673C8C">
      <w:pPr>
        <w:jc w:val="center"/>
        <w:rPr>
          <w:rFonts w:ascii="Arial" w:hAnsi="Arial" w:cs="Arial"/>
          <w:b/>
          <w:sz w:val="22"/>
        </w:rPr>
      </w:pPr>
      <w:proofErr w:type="spellStart"/>
      <w:r w:rsidRPr="00673C8C">
        <w:rPr>
          <w:rFonts w:ascii="Arial" w:hAnsi="Arial" w:cs="Arial"/>
          <w:b/>
          <w:sz w:val="22"/>
        </w:rPr>
        <w:t>Interactividad</w:t>
      </w:r>
      <w:proofErr w:type="spellEnd"/>
      <w:r w:rsidRPr="00673C8C">
        <w:rPr>
          <w:rFonts w:ascii="Arial" w:hAnsi="Arial" w:cs="Arial"/>
          <w:b/>
          <w:sz w:val="22"/>
        </w:rPr>
        <w:t xml:space="preserve">: </w:t>
      </w:r>
      <w:proofErr w:type="spellStart"/>
      <w:r w:rsidRPr="00673C8C">
        <w:rPr>
          <w:rFonts w:ascii="Arial" w:hAnsi="Arial" w:cs="Arial"/>
          <w:b/>
          <w:sz w:val="22"/>
        </w:rPr>
        <w:t>Flujos</w:t>
      </w:r>
      <w:proofErr w:type="spellEnd"/>
      <w:r w:rsidRPr="00673C8C">
        <w:rPr>
          <w:rFonts w:ascii="Arial" w:hAnsi="Arial" w:cs="Arial"/>
          <w:b/>
          <w:sz w:val="22"/>
        </w:rPr>
        <w:t xml:space="preserve"> de </w:t>
      </w:r>
      <w:proofErr w:type="spellStart"/>
      <w:r w:rsidRPr="00673C8C">
        <w:rPr>
          <w:rFonts w:ascii="Arial" w:hAnsi="Arial" w:cs="Arial"/>
          <w:b/>
          <w:sz w:val="22"/>
        </w:rPr>
        <w:t>efectivo</w:t>
      </w:r>
      <w:proofErr w:type="spellEnd"/>
    </w:p>
    <w:p w14:paraId="2E8B731F" w14:textId="77777777" w:rsidR="00673C8C" w:rsidRDefault="00673C8C" w:rsidP="00673C8C">
      <w:pPr>
        <w:jc w:val="center"/>
        <w:rPr>
          <w:rFonts w:ascii="Arial" w:hAnsi="Arial" w:cs="Arial"/>
          <w:b/>
          <w:sz w:val="22"/>
        </w:rPr>
      </w:pPr>
    </w:p>
    <w:p w14:paraId="36CC27D5" w14:textId="77777777" w:rsidR="00673C8C" w:rsidRPr="00673C8C" w:rsidRDefault="00673C8C" w:rsidP="00673C8C">
      <w:pPr>
        <w:rPr>
          <w:rFonts w:ascii="Arial" w:hAnsi="Arial" w:cs="Arial"/>
          <w:color w:val="FF0000"/>
          <w:sz w:val="22"/>
        </w:rPr>
      </w:pPr>
      <w:proofErr w:type="spellStart"/>
      <w:proofErr w:type="gramStart"/>
      <w:r w:rsidRPr="00673C8C">
        <w:rPr>
          <w:rFonts w:ascii="Arial" w:hAnsi="Arial" w:cs="Arial"/>
          <w:color w:val="FF0000"/>
          <w:sz w:val="22"/>
        </w:rPr>
        <w:t>Por</w:t>
      </w:r>
      <w:proofErr w:type="spellEnd"/>
      <w:r w:rsidRPr="00673C8C">
        <w:rPr>
          <w:rFonts w:ascii="Arial" w:hAnsi="Arial" w:cs="Arial"/>
          <w:color w:val="FF0000"/>
          <w:sz w:val="22"/>
        </w:rPr>
        <w:t xml:space="preserve"> favor </w:t>
      </w:r>
      <w:proofErr w:type="spellStart"/>
      <w:r w:rsidRPr="00673C8C">
        <w:rPr>
          <w:rFonts w:ascii="Arial" w:hAnsi="Arial" w:cs="Arial"/>
          <w:color w:val="FF0000"/>
          <w:sz w:val="22"/>
        </w:rPr>
        <w:t>diseñar</w:t>
      </w:r>
      <w:proofErr w:type="spellEnd"/>
      <w:r w:rsidRPr="00673C8C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Pr="00673C8C">
        <w:rPr>
          <w:rFonts w:ascii="Arial" w:hAnsi="Arial" w:cs="Arial"/>
          <w:color w:val="FF0000"/>
          <w:sz w:val="22"/>
        </w:rPr>
        <w:t>interactividad</w:t>
      </w:r>
      <w:proofErr w:type="spellEnd"/>
      <w:r w:rsidRPr="00673C8C">
        <w:rPr>
          <w:rFonts w:ascii="Arial" w:hAnsi="Arial" w:cs="Arial"/>
          <w:color w:val="FF0000"/>
          <w:sz w:val="22"/>
        </w:rPr>
        <w:t xml:space="preserve"> de </w:t>
      </w:r>
      <w:proofErr w:type="spellStart"/>
      <w:r w:rsidRPr="00673C8C">
        <w:rPr>
          <w:rFonts w:ascii="Arial" w:hAnsi="Arial" w:cs="Arial"/>
          <w:color w:val="FF0000"/>
          <w:sz w:val="22"/>
        </w:rPr>
        <w:t>acuerdo</w:t>
      </w:r>
      <w:proofErr w:type="spellEnd"/>
      <w:r w:rsidRPr="00673C8C">
        <w:rPr>
          <w:rFonts w:ascii="Arial" w:hAnsi="Arial" w:cs="Arial"/>
          <w:color w:val="FF0000"/>
          <w:sz w:val="22"/>
        </w:rPr>
        <w:t xml:space="preserve"> con la </w:t>
      </w:r>
      <w:proofErr w:type="spellStart"/>
      <w:r w:rsidRPr="00673C8C">
        <w:rPr>
          <w:rFonts w:ascii="Arial" w:hAnsi="Arial" w:cs="Arial"/>
          <w:color w:val="FF0000"/>
          <w:sz w:val="22"/>
        </w:rPr>
        <w:t>referencia</w:t>
      </w:r>
      <w:proofErr w:type="spellEnd"/>
      <w:r w:rsidRPr="00673C8C">
        <w:rPr>
          <w:rFonts w:ascii="Arial" w:hAnsi="Arial" w:cs="Arial"/>
          <w:color w:val="FF0000"/>
          <w:sz w:val="22"/>
        </w:rPr>
        <w:t>.</w:t>
      </w:r>
      <w:proofErr w:type="gramEnd"/>
    </w:p>
    <w:p w14:paraId="5120D95D" w14:textId="77777777" w:rsidR="00673C8C" w:rsidRDefault="00673C8C"/>
    <w:p w14:paraId="743FAD75" w14:textId="77777777" w:rsidR="00673C8C" w:rsidRDefault="00673C8C">
      <w:r>
        <w:rPr>
          <w:noProof/>
        </w:rPr>
        <w:drawing>
          <wp:inline distT="114300" distB="114300" distL="114300" distR="114300" wp14:anchorId="5DB1A5BE" wp14:editId="03304CB5">
            <wp:extent cx="3800475" cy="2453034"/>
            <wp:effectExtent l="0" t="0" r="0" b="0"/>
            <wp:docPr id="23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453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EE5831" w14:textId="77777777" w:rsidR="00673C8C" w:rsidRPr="00673C8C" w:rsidRDefault="00673C8C">
      <w:pPr>
        <w:rPr>
          <w:rFonts w:ascii="Arial" w:hAnsi="Arial" w:cs="Arial"/>
          <w:sz w:val="22"/>
        </w:rPr>
      </w:pPr>
    </w:p>
    <w:p w14:paraId="57BA1ED9" w14:textId="77777777" w:rsidR="00673C8C" w:rsidRPr="00673C8C" w:rsidRDefault="00673C8C">
      <w:pPr>
        <w:rPr>
          <w:rFonts w:ascii="Arial" w:hAnsi="Arial" w:cs="Arial"/>
          <w:sz w:val="22"/>
        </w:rPr>
      </w:pPr>
      <w:proofErr w:type="spellStart"/>
      <w:r w:rsidRPr="00744332">
        <w:rPr>
          <w:rFonts w:ascii="Arial" w:hAnsi="Arial" w:cs="Arial"/>
          <w:color w:val="FF0000"/>
          <w:sz w:val="22"/>
        </w:rPr>
        <w:t>Título</w:t>
      </w:r>
      <w:proofErr w:type="spellEnd"/>
      <w:r w:rsidRPr="00744332">
        <w:rPr>
          <w:rFonts w:ascii="Arial" w:hAnsi="Arial" w:cs="Arial"/>
          <w:color w:val="FF0000"/>
          <w:sz w:val="22"/>
        </w:rPr>
        <w:t>:</w:t>
      </w:r>
      <w:r w:rsidRPr="00673C8C">
        <w:rPr>
          <w:rFonts w:ascii="Arial" w:hAnsi="Arial" w:cs="Arial"/>
          <w:sz w:val="22"/>
        </w:rPr>
        <w:t xml:space="preserve"> </w:t>
      </w:r>
      <w:proofErr w:type="spellStart"/>
      <w:r w:rsidRPr="00673C8C">
        <w:rPr>
          <w:rFonts w:ascii="Arial" w:hAnsi="Arial" w:cs="Arial"/>
          <w:sz w:val="22"/>
        </w:rPr>
        <w:t>Flujos</w:t>
      </w:r>
      <w:proofErr w:type="spellEnd"/>
      <w:r w:rsidRPr="00673C8C">
        <w:rPr>
          <w:rFonts w:ascii="Arial" w:hAnsi="Arial" w:cs="Arial"/>
          <w:sz w:val="22"/>
        </w:rPr>
        <w:t xml:space="preserve"> de </w:t>
      </w:r>
      <w:proofErr w:type="spellStart"/>
      <w:r w:rsidRPr="00673C8C">
        <w:rPr>
          <w:rFonts w:ascii="Arial" w:hAnsi="Arial" w:cs="Arial"/>
          <w:sz w:val="22"/>
        </w:rPr>
        <w:t>efectivo</w:t>
      </w:r>
      <w:proofErr w:type="spellEnd"/>
      <w:r w:rsidRPr="00673C8C">
        <w:rPr>
          <w:rFonts w:ascii="Arial" w:hAnsi="Arial" w:cs="Arial"/>
          <w:sz w:val="22"/>
        </w:rPr>
        <w:t>.</w:t>
      </w:r>
    </w:p>
    <w:p w14:paraId="1A3E5CE0" w14:textId="77777777" w:rsidR="00673C8C" w:rsidRPr="00673C8C" w:rsidRDefault="00673C8C">
      <w:pPr>
        <w:rPr>
          <w:rFonts w:ascii="Arial" w:hAnsi="Arial" w:cs="Arial"/>
          <w:sz w:val="22"/>
        </w:rPr>
      </w:pPr>
    </w:p>
    <w:p w14:paraId="657DC262" w14:textId="77777777" w:rsidR="00673C8C" w:rsidRPr="00673C8C" w:rsidRDefault="00673C8C">
      <w:pPr>
        <w:rPr>
          <w:rFonts w:ascii="Arial" w:hAnsi="Arial" w:cs="Arial"/>
          <w:sz w:val="22"/>
        </w:rPr>
      </w:pPr>
      <w:proofErr w:type="spellStart"/>
      <w:r w:rsidRPr="00744332">
        <w:rPr>
          <w:rFonts w:ascii="Arial" w:hAnsi="Arial" w:cs="Arial"/>
          <w:color w:val="FF0000"/>
          <w:sz w:val="22"/>
        </w:rPr>
        <w:t>Instrucción</w:t>
      </w:r>
      <w:proofErr w:type="spellEnd"/>
      <w:r w:rsidRPr="00744332">
        <w:rPr>
          <w:rFonts w:ascii="Arial" w:hAnsi="Arial" w:cs="Arial"/>
          <w:color w:val="FF0000"/>
          <w:sz w:val="22"/>
        </w:rPr>
        <w:t>:</w:t>
      </w:r>
      <w:r w:rsidRPr="00673C8C">
        <w:rPr>
          <w:rFonts w:ascii="Arial" w:hAnsi="Arial" w:cs="Arial"/>
          <w:sz w:val="22"/>
        </w:rPr>
        <w:t xml:space="preserve"> </w:t>
      </w:r>
      <w:proofErr w:type="spellStart"/>
      <w:r w:rsidRPr="00673C8C">
        <w:rPr>
          <w:rFonts w:ascii="Arial" w:hAnsi="Arial" w:cs="Arial"/>
          <w:sz w:val="22"/>
        </w:rPr>
        <w:t>Haga</w:t>
      </w:r>
      <w:proofErr w:type="spellEnd"/>
      <w:r w:rsidRPr="00673C8C">
        <w:rPr>
          <w:rFonts w:ascii="Arial" w:hAnsi="Arial" w:cs="Arial"/>
          <w:sz w:val="22"/>
        </w:rPr>
        <w:t xml:space="preserve"> </w:t>
      </w:r>
      <w:proofErr w:type="spellStart"/>
      <w:r w:rsidRPr="00673C8C">
        <w:rPr>
          <w:rFonts w:ascii="Arial" w:hAnsi="Arial" w:cs="Arial"/>
          <w:sz w:val="22"/>
        </w:rPr>
        <w:t>clic</w:t>
      </w:r>
      <w:proofErr w:type="spellEnd"/>
      <w:r w:rsidRPr="00673C8C">
        <w:rPr>
          <w:rFonts w:ascii="Arial" w:hAnsi="Arial" w:cs="Arial"/>
          <w:sz w:val="22"/>
        </w:rPr>
        <w:t xml:space="preserve"> en </w:t>
      </w:r>
      <w:proofErr w:type="spellStart"/>
      <w:r w:rsidRPr="00673C8C">
        <w:rPr>
          <w:rFonts w:ascii="Arial" w:hAnsi="Arial" w:cs="Arial"/>
          <w:sz w:val="22"/>
        </w:rPr>
        <w:t>cada</w:t>
      </w:r>
      <w:proofErr w:type="spellEnd"/>
      <w:r w:rsidRPr="00673C8C">
        <w:rPr>
          <w:rFonts w:ascii="Arial" w:hAnsi="Arial" w:cs="Arial"/>
          <w:sz w:val="22"/>
        </w:rPr>
        <w:t xml:space="preserve"> </w:t>
      </w:r>
      <w:proofErr w:type="spellStart"/>
      <w:r w:rsidR="00744332">
        <w:rPr>
          <w:rFonts w:ascii="Arial" w:hAnsi="Arial" w:cs="Arial"/>
          <w:sz w:val="22"/>
        </w:rPr>
        <w:t>í</w:t>
      </w:r>
      <w:r w:rsidRPr="00673C8C">
        <w:rPr>
          <w:rFonts w:ascii="Arial" w:hAnsi="Arial" w:cs="Arial"/>
          <w:sz w:val="22"/>
        </w:rPr>
        <w:t>tem</w:t>
      </w:r>
      <w:proofErr w:type="spellEnd"/>
      <w:r w:rsidRPr="00673C8C">
        <w:rPr>
          <w:rFonts w:ascii="Arial" w:hAnsi="Arial" w:cs="Arial"/>
          <w:sz w:val="22"/>
        </w:rPr>
        <w:t xml:space="preserve"> </w:t>
      </w:r>
      <w:proofErr w:type="spellStart"/>
      <w:r w:rsidRPr="00673C8C">
        <w:rPr>
          <w:rFonts w:ascii="Arial" w:hAnsi="Arial" w:cs="Arial"/>
          <w:sz w:val="22"/>
        </w:rPr>
        <w:t>para</w:t>
      </w:r>
      <w:proofErr w:type="spellEnd"/>
      <w:r w:rsidRPr="00673C8C">
        <w:rPr>
          <w:rFonts w:ascii="Arial" w:hAnsi="Arial" w:cs="Arial"/>
          <w:sz w:val="22"/>
        </w:rPr>
        <w:t xml:space="preserve"> </w:t>
      </w:r>
      <w:proofErr w:type="spellStart"/>
      <w:r w:rsidRPr="00673C8C">
        <w:rPr>
          <w:rFonts w:ascii="Arial" w:hAnsi="Arial" w:cs="Arial"/>
          <w:sz w:val="22"/>
        </w:rPr>
        <w:t>conocer</w:t>
      </w:r>
      <w:proofErr w:type="spellEnd"/>
      <w:r w:rsidRPr="00673C8C">
        <w:rPr>
          <w:rFonts w:ascii="Arial" w:hAnsi="Arial" w:cs="Arial"/>
          <w:sz w:val="22"/>
        </w:rPr>
        <w:t xml:space="preserve"> </w:t>
      </w:r>
      <w:proofErr w:type="spellStart"/>
      <w:r w:rsidRPr="00673C8C">
        <w:rPr>
          <w:rFonts w:ascii="Arial" w:hAnsi="Arial" w:cs="Arial"/>
          <w:sz w:val="22"/>
        </w:rPr>
        <w:t>las</w:t>
      </w:r>
      <w:proofErr w:type="spellEnd"/>
      <w:r w:rsidRPr="00673C8C">
        <w:rPr>
          <w:rFonts w:ascii="Arial" w:hAnsi="Arial" w:cs="Arial"/>
          <w:sz w:val="22"/>
        </w:rPr>
        <w:t xml:space="preserve"> </w:t>
      </w:r>
      <w:proofErr w:type="spellStart"/>
      <w:r w:rsidRPr="00673C8C">
        <w:rPr>
          <w:rFonts w:ascii="Arial" w:hAnsi="Arial" w:cs="Arial"/>
          <w:sz w:val="22"/>
        </w:rPr>
        <w:t>actividades</w:t>
      </w:r>
      <w:proofErr w:type="spellEnd"/>
      <w:r w:rsidRPr="00673C8C">
        <w:rPr>
          <w:rFonts w:ascii="Arial" w:hAnsi="Arial" w:cs="Arial"/>
          <w:sz w:val="22"/>
        </w:rPr>
        <w:t xml:space="preserve"> </w:t>
      </w:r>
      <w:proofErr w:type="spellStart"/>
      <w:r w:rsidRPr="00673C8C">
        <w:rPr>
          <w:rFonts w:ascii="Arial" w:hAnsi="Arial" w:cs="Arial"/>
          <w:sz w:val="22"/>
        </w:rPr>
        <w:t>que</w:t>
      </w:r>
      <w:proofErr w:type="spellEnd"/>
      <w:r w:rsidRPr="00673C8C">
        <w:rPr>
          <w:rFonts w:ascii="Arial" w:hAnsi="Arial" w:cs="Arial"/>
          <w:sz w:val="22"/>
        </w:rPr>
        <w:t xml:space="preserve"> </w:t>
      </w:r>
      <w:proofErr w:type="spellStart"/>
      <w:r w:rsidRPr="00673C8C">
        <w:rPr>
          <w:rFonts w:ascii="Arial" w:hAnsi="Arial" w:cs="Arial"/>
          <w:sz w:val="22"/>
        </w:rPr>
        <w:t>hacen</w:t>
      </w:r>
      <w:proofErr w:type="spellEnd"/>
      <w:r w:rsidRPr="00673C8C">
        <w:rPr>
          <w:rFonts w:ascii="Arial" w:hAnsi="Arial" w:cs="Arial"/>
          <w:sz w:val="22"/>
        </w:rPr>
        <w:t xml:space="preserve"> parte de los </w:t>
      </w:r>
      <w:proofErr w:type="spellStart"/>
      <w:r w:rsidRPr="00673C8C">
        <w:rPr>
          <w:rFonts w:ascii="Arial" w:hAnsi="Arial" w:cs="Arial"/>
          <w:sz w:val="22"/>
        </w:rPr>
        <w:t>flujos</w:t>
      </w:r>
      <w:proofErr w:type="spellEnd"/>
      <w:r w:rsidRPr="00673C8C">
        <w:rPr>
          <w:rFonts w:ascii="Arial" w:hAnsi="Arial" w:cs="Arial"/>
          <w:sz w:val="22"/>
        </w:rPr>
        <w:t xml:space="preserve"> de </w:t>
      </w:r>
      <w:proofErr w:type="spellStart"/>
      <w:r w:rsidRPr="00673C8C">
        <w:rPr>
          <w:rFonts w:ascii="Arial" w:hAnsi="Arial" w:cs="Arial"/>
          <w:sz w:val="22"/>
        </w:rPr>
        <w:t>efectivo</w:t>
      </w:r>
      <w:proofErr w:type="spellEnd"/>
      <w:r w:rsidRPr="00673C8C">
        <w:rPr>
          <w:rFonts w:ascii="Arial" w:hAnsi="Arial" w:cs="Arial"/>
          <w:sz w:val="22"/>
        </w:rPr>
        <w:t>.</w:t>
      </w:r>
    </w:p>
    <w:p w14:paraId="24970E9B" w14:textId="77777777" w:rsidR="00673C8C" w:rsidRDefault="00673C8C"/>
    <w:p w14:paraId="52182474" w14:textId="77777777" w:rsidR="00744332" w:rsidRPr="00744332" w:rsidRDefault="00744332" w:rsidP="00673C8C">
      <w:pPr>
        <w:pStyle w:val="Heading3"/>
        <w:numPr>
          <w:ilvl w:val="0"/>
          <w:numId w:val="0"/>
        </w:numPr>
        <w:rPr>
          <w:rFonts w:ascii="Arial" w:hAnsi="Arial" w:cs="Arial"/>
          <w:b/>
          <w:color w:val="FF0000"/>
          <w:sz w:val="22"/>
          <w:szCs w:val="22"/>
        </w:rPr>
      </w:pPr>
      <w:bookmarkStart w:id="0" w:name="_Toc508477140"/>
      <w:bookmarkStart w:id="1" w:name="_GoBack"/>
      <w:r w:rsidRPr="00744332">
        <w:rPr>
          <w:rFonts w:ascii="Arial" w:hAnsi="Arial" w:cs="Arial"/>
          <w:b/>
          <w:color w:val="FF0000"/>
          <w:sz w:val="22"/>
          <w:szCs w:val="22"/>
        </w:rPr>
        <w:t>Información:</w:t>
      </w:r>
    </w:p>
    <w:bookmarkEnd w:id="1"/>
    <w:p w14:paraId="033B4F4F" w14:textId="77777777" w:rsidR="00744332" w:rsidRDefault="00744332" w:rsidP="00673C8C">
      <w:pPr>
        <w:pStyle w:val="Heading3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155E4306" w14:textId="77777777" w:rsidR="00673C8C" w:rsidRPr="00717B89" w:rsidRDefault="00673C8C" w:rsidP="00673C8C">
      <w:pPr>
        <w:pStyle w:val="Heading3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717B89">
        <w:rPr>
          <w:rFonts w:ascii="Arial" w:hAnsi="Arial" w:cs="Arial"/>
          <w:b/>
          <w:sz w:val="22"/>
          <w:szCs w:val="22"/>
        </w:rPr>
        <w:t>Actividades de operación</w:t>
      </w:r>
      <w:bookmarkEnd w:id="0"/>
    </w:p>
    <w:p w14:paraId="5C3DEEEF" w14:textId="77777777" w:rsidR="00673C8C" w:rsidRDefault="00673C8C" w:rsidP="00673C8C">
      <w:pPr>
        <w:rPr>
          <w:rFonts w:ascii="Arial" w:hAnsi="Arial" w:cs="Arial"/>
          <w:sz w:val="22"/>
          <w:szCs w:val="22"/>
        </w:rPr>
      </w:pPr>
    </w:p>
    <w:p w14:paraId="4F0428AE" w14:textId="77777777" w:rsidR="00673C8C" w:rsidRPr="00384CBC" w:rsidRDefault="00673C8C" w:rsidP="00673C8C">
      <w:pPr>
        <w:rPr>
          <w:rFonts w:ascii="Arial" w:hAnsi="Arial" w:cs="Arial"/>
          <w:sz w:val="22"/>
          <w:szCs w:val="22"/>
        </w:rPr>
      </w:pPr>
      <w:proofErr w:type="gramStart"/>
      <w:r w:rsidRPr="00384CBC">
        <w:rPr>
          <w:rFonts w:ascii="Arial" w:hAnsi="Arial" w:cs="Arial"/>
          <w:sz w:val="22"/>
          <w:szCs w:val="22"/>
        </w:rPr>
        <w:t xml:space="preserve">Las </w:t>
      </w:r>
      <w:proofErr w:type="spellStart"/>
      <w:r w:rsidRPr="00384CBC">
        <w:rPr>
          <w:rFonts w:ascii="Arial" w:hAnsi="Arial" w:cs="Arial"/>
          <w:sz w:val="22"/>
          <w:szCs w:val="22"/>
        </w:rPr>
        <w:t>actividades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operación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según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384CBC">
        <w:rPr>
          <w:rFonts w:ascii="Arial" w:hAnsi="Arial" w:cs="Arial"/>
          <w:sz w:val="22"/>
          <w:szCs w:val="22"/>
        </w:rPr>
        <w:t>Fundación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IFRS (2009), son </w:t>
      </w:r>
      <w:proofErr w:type="spellStart"/>
      <w:r w:rsidRPr="00384CBC">
        <w:rPr>
          <w:rFonts w:ascii="Arial" w:hAnsi="Arial" w:cs="Arial"/>
          <w:sz w:val="22"/>
          <w:szCs w:val="22"/>
        </w:rPr>
        <w:t>las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actividades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que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constituyen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la principal </w:t>
      </w:r>
      <w:proofErr w:type="spellStart"/>
      <w:r w:rsidRPr="00384CBC">
        <w:rPr>
          <w:rFonts w:ascii="Arial" w:hAnsi="Arial" w:cs="Arial"/>
          <w:sz w:val="22"/>
          <w:szCs w:val="22"/>
        </w:rPr>
        <w:t>fuente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ingresos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actividades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ordinarias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384CBC">
        <w:rPr>
          <w:rFonts w:ascii="Arial" w:hAnsi="Arial" w:cs="Arial"/>
          <w:sz w:val="22"/>
          <w:szCs w:val="22"/>
        </w:rPr>
        <w:t>entidad</w:t>
      </w:r>
      <w:proofErr w:type="spellEnd"/>
      <w:r w:rsidRPr="00384CBC">
        <w:rPr>
          <w:rFonts w:ascii="Arial" w:hAnsi="Arial" w:cs="Arial"/>
          <w:sz w:val="22"/>
          <w:szCs w:val="22"/>
        </w:rPr>
        <w:t>.</w:t>
      </w:r>
      <w:proofErr w:type="gram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84CBC">
        <w:rPr>
          <w:rFonts w:ascii="Arial" w:hAnsi="Arial" w:cs="Arial"/>
          <w:sz w:val="22"/>
          <w:szCs w:val="22"/>
        </w:rPr>
        <w:t>Por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ello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, los </w:t>
      </w:r>
      <w:proofErr w:type="spellStart"/>
      <w:r w:rsidRPr="00384CBC">
        <w:rPr>
          <w:rFonts w:ascii="Arial" w:hAnsi="Arial" w:cs="Arial"/>
          <w:sz w:val="22"/>
          <w:szCs w:val="22"/>
        </w:rPr>
        <w:t>flujos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efectivo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actividades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operación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generalmente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proceden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las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transacciones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384CBC">
        <w:rPr>
          <w:rFonts w:ascii="Arial" w:hAnsi="Arial" w:cs="Arial"/>
          <w:sz w:val="22"/>
          <w:szCs w:val="22"/>
        </w:rPr>
        <w:t>otros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sucesos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384CBC">
        <w:rPr>
          <w:rFonts w:ascii="Arial" w:hAnsi="Arial" w:cs="Arial"/>
          <w:sz w:val="22"/>
          <w:szCs w:val="22"/>
        </w:rPr>
        <w:t>condiciones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que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entran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en la </w:t>
      </w:r>
      <w:proofErr w:type="spellStart"/>
      <w:r w:rsidRPr="00384CBC">
        <w:rPr>
          <w:rFonts w:ascii="Arial" w:hAnsi="Arial" w:cs="Arial"/>
          <w:sz w:val="22"/>
          <w:szCs w:val="22"/>
        </w:rPr>
        <w:t>determinación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384CBC">
        <w:rPr>
          <w:rFonts w:ascii="Arial" w:hAnsi="Arial" w:cs="Arial"/>
          <w:sz w:val="22"/>
          <w:szCs w:val="22"/>
        </w:rPr>
        <w:t>resultado</w:t>
      </w:r>
      <w:proofErr w:type="spellEnd"/>
      <w:r w:rsidRPr="00384CBC">
        <w:rPr>
          <w:rFonts w:ascii="Arial" w:hAnsi="Arial" w:cs="Arial"/>
          <w:sz w:val="22"/>
          <w:szCs w:val="22"/>
        </w:rPr>
        <w:t>.</w:t>
      </w:r>
      <w:proofErr w:type="gramEnd"/>
      <w:r w:rsidRPr="00384CBC">
        <w:rPr>
          <w:rFonts w:ascii="Arial" w:hAnsi="Arial" w:cs="Arial"/>
          <w:sz w:val="22"/>
          <w:szCs w:val="22"/>
        </w:rPr>
        <w:t xml:space="preserve"> Son </w:t>
      </w:r>
      <w:proofErr w:type="spellStart"/>
      <w:r w:rsidRPr="00384CBC">
        <w:rPr>
          <w:rFonts w:ascii="Arial" w:hAnsi="Arial" w:cs="Arial"/>
          <w:sz w:val="22"/>
          <w:szCs w:val="22"/>
        </w:rPr>
        <w:t>ejemplos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flujos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efectivo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por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actividades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operación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los </w:t>
      </w:r>
      <w:proofErr w:type="spellStart"/>
      <w:r w:rsidRPr="00384CBC">
        <w:rPr>
          <w:rFonts w:ascii="Arial" w:hAnsi="Arial" w:cs="Arial"/>
          <w:sz w:val="22"/>
          <w:szCs w:val="22"/>
        </w:rPr>
        <w:t>siguientes</w:t>
      </w:r>
      <w:proofErr w:type="spellEnd"/>
      <w:r w:rsidRPr="00384CBC">
        <w:rPr>
          <w:rFonts w:ascii="Arial" w:hAnsi="Arial" w:cs="Arial"/>
          <w:sz w:val="22"/>
          <w:szCs w:val="22"/>
        </w:rPr>
        <w:t>:</w:t>
      </w:r>
    </w:p>
    <w:p w14:paraId="6D997D97" w14:textId="77777777" w:rsidR="00673C8C" w:rsidRPr="00384CBC" w:rsidRDefault="00673C8C" w:rsidP="00673C8C">
      <w:pPr>
        <w:rPr>
          <w:rFonts w:ascii="Arial" w:hAnsi="Arial" w:cs="Arial"/>
          <w:sz w:val="22"/>
          <w:szCs w:val="22"/>
        </w:rPr>
      </w:pPr>
    </w:p>
    <w:p w14:paraId="3473F6A7" w14:textId="77777777" w:rsidR="00673C8C" w:rsidRPr="00384CBC" w:rsidRDefault="00673C8C" w:rsidP="00673C8C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Cobros procedentes de las ventas de bienes y prestación de servicios.</w:t>
      </w:r>
    </w:p>
    <w:p w14:paraId="5FCA349D" w14:textId="77777777" w:rsidR="00673C8C" w:rsidRPr="00384CBC" w:rsidRDefault="00673C8C" w:rsidP="00673C8C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Cobros procedentes de regalías, cuotas, comisiones y otros ingresos de actividades ordinarias.</w:t>
      </w:r>
    </w:p>
    <w:p w14:paraId="6B5163F8" w14:textId="77777777" w:rsidR="00673C8C" w:rsidRPr="00384CBC" w:rsidRDefault="00673C8C" w:rsidP="00673C8C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Pagos a proveedores de bienes y servicios.</w:t>
      </w:r>
    </w:p>
    <w:p w14:paraId="2C750161" w14:textId="77777777" w:rsidR="00673C8C" w:rsidRPr="00384CBC" w:rsidRDefault="00673C8C" w:rsidP="00673C8C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Pagos a los empleados y por cuenta de ellos.</w:t>
      </w:r>
    </w:p>
    <w:p w14:paraId="1FC2A974" w14:textId="77777777" w:rsidR="00673C8C" w:rsidRPr="00384CBC" w:rsidRDefault="00673C8C" w:rsidP="00673C8C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Pagos o devoluciones del impuesto a las ganancias, a menos que puedan clasificarse específicamente dentro de las actividades de inversión y financiación.</w:t>
      </w:r>
    </w:p>
    <w:p w14:paraId="09EB77FF" w14:textId="77777777" w:rsidR="00673C8C" w:rsidRPr="00384CBC" w:rsidRDefault="00673C8C" w:rsidP="00673C8C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Cobros y pagos procedentes de inversiones, préstamos y otros contratos mantenidos con propósito de intermediación o para negociar que sean similares a los inventarios adquiridos específicamente para revender.</w:t>
      </w:r>
    </w:p>
    <w:p w14:paraId="29673599" w14:textId="77777777" w:rsidR="00673C8C" w:rsidRPr="00384CBC" w:rsidRDefault="00673C8C" w:rsidP="00673C8C">
      <w:pPr>
        <w:rPr>
          <w:rFonts w:ascii="Arial" w:hAnsi="Arial" w:cs="Arial"/>
          <w:sz w:val="22"/>
          <w:szCs w:val="22"/>
        </w:rPr>
      </w:pPr>
    </w:p>
    <w:p w14:paraId="777FFEC1" w14:textId="77777777" w:rsidR="00673C8C" w:rsidRPr="00384CBC" w:rsidRDefault="00673C8C" w:rsidP="00673C8C">
      <w:pPr>
        <w:rPr>
          <w:rFonts w:ascii="Arial" w:hAnsi="Arial" w:cs="Arial"/>
          <w:sz w:val="22"/>
          <w:szCs w:val="22"/>
        </w:rPr>
      </w:pPr>
      <w:proofErr w:type="spellStart"/>
      <w:r w:rsidRPr="00384CBC">
        <w:rPr>
          <w:rFonts w:ascii="Arial" w:hAnsi="Arial" w:cs="Arial"/>
          <w:sz w:val="22"/>
          <w:szCs w:val="22"/>
        </w:rPr>
        <w:lastRenderedPageBreak/>
        <w:t>Algunas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transacciones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, tales </w:t>
      </w:r>
      <w:proofErr w:type="spellStart"/>
      <w:proofErr w:type="gramStart"/>
      <w:r w:rsidRPr="00384CBC">
        <w:rPr>
          <w:rFonts w:ascii="Arial" w:hAnsi="Arial" w:cs="Arial"/>
          <w:sz w:val="22"/>
          <w:szCs w:val="22"/>
        </w:rPr>
        <w:t>como</w:t>
      </w:r>
      <w:proofErr w:type="spellEnd"/>
      <w:proofErr w:type="gramEnd"/>
      <w:r w:rsidRPr="00384CB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384CBC">
        <w:rPr>
          <w:rFonts w:ascii="Arial" w:hAnsi="Arial" w:cs="Arial"/>
          <w:sz w:val="22"/>
          <w:szCs w:val="22"/>
        </w:rPr>
        <w:t>venta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una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partida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propiedades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4CBC">
        <w:rPr>
          <w:rFonts w:ascii="Arial" w:hAnsi="Arial" w:cs="Arial"/>
          <w:sz w:val="22"/>
          <w:szCs w:val="22"/>
        </w:rPr>
        <w:t>planta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384CBC">
        <w:rPr>
          <w:rFonts w:ascii="Arial" w:hAnsi="Arial" w:cs="Arial"/>
          <w:sz w:val="22"/>
          <w:szCs w:val="22"/>
        </w:rPr>
        <w:t>equipo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por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una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entidad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manufacturera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4CBC">
        <w:rPr>
          <w:rFonts w:ascii="Arial" w:hAnsi="Arial" w:cs="Arial"/>
          <w:sz w:val="22"/>
          <w:szCs w:val="22"/>
        </w:rPr>
        <w:t>pueden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dar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lugar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84CBC">
        <w:rPr>
          <w:rFonts w:ascii="Arial" w:hAnsi="Arial" w:cs="Arial"/>
          <w:sz w:val="22"/>
          <w:szCs w:val="22"/>
        </w:rPr>
        <w:t>una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ganancia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84CBC">
        <w:rPr>
          <w:rFonts w:ascii="Arial" w:hAnsi="Arial" w:cs="Arial"/>
          <w:sz w:val="22"/>
          <w:szCs w:val="22"/>
        </w:rPr>
        <w:t>pérdida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que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84CBC">
        <w:rPr>
          <w:rFonts w:ascii="Arial" w:hAnsi="Arial" w:cs="Arial"/>
          <w:sz w:val="22"/>
          <w:szCs w:val="22"/>
        </w:rPr>
        <w:t>incluye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en el </w:t>
      </w:r>
      <w:proofErr w:type="spellStart"/>
      <w:r w:rsidRPr="00384CBC">
        <w:rPr>
          <w:rFonts w:ascii="Arial" w:hAnsi="Arial" w:cs="Arial"/>
          <w:sz w:val="22"/>
          <w:szCs w:val="22"/>
        </w:rPr>
        <w:t>resultado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. Sin embargo, los </w:t>
      </w:r>
      <w:proofErr w:type="spellStart"/>
      <w:r w:rsidRPr="00384CBC">
        <w:rPr>
          <w:rFonts w:ascii="Arial" w:hAnsi="Arial" w:cs="Arial"/>
          <w:sz w:val="22"/>
          <w:szCs w:val="22"/>
        </w:rPr>
        <w:t>flujos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efectivo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relacionados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384CBC">
        <w:rPr>
          <w:rFonts w:ascii="Arial" w:hAnsi="Arial" w:cs="Arial"/>
          <w:sz w:val="22"/>
          <w:szCs w:val="22"/>
        </w:rPr>
        <w:t>estas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transacciones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son </w:t>
      </w:r>
      <w:proofErr w:type="spellStart"/>
      <w:r w:rsidRPr="00384CBC">
        <w:rPr>
          <w:rFonts w:ascii="Arial" w:hAnsi="Arial" w:cs="Arial"/>
          <w:sz w:val="22"/>
          <w:szCs w:val="22"/>
        </w:rPr>
        <w:t>flujos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efectivos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procedentes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actividades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inversión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72312441"/>
          <w:citation/>
        </w:sdtPr>
        <w:sdtContent>
          <w:r w:rsidRPr="00384CBC">
            <w:rPr>
              <w:rFonts w:ascii="Arial" w:hAnsi="Arial" w:cs="Arial"/>
              <w:sz w:val="22"/>
              <w:szCs w:val="22"/>
            </w:rPr>
            <w:fldChar w:fldCharType="begin"/>
          </w:r>
          <w:r w:rsidRPr="00384CBC">
            <w:rPr>
              <w:rFonts w:ascii="Arial" w:hAnsi="Arial" w:cs="Arial"/>
              <w:sz w:val="22"/>
              <w:szCs w:val="22"/>
              <w:lang w:val="es-ES"/>
            </w:rPr>
            <w:instrText xml:space="preserve">CITATION Fun11 \l 3082 </w:instrText>
          </w:r>
          <w:r w:rsidRPr="00384CBC">
            <w:rPr>
              <w:rFonts w:ascii="Arial" w:hAnsi="Arial" w:cs="Arial"/>
              <w:sz w:val="22"/>
              <w:szCs w:val="22"/>
            </w:rPr>
            <w:fldChar w:fldCharType="separate"/>
          </w:r>
          <w:r w:rsidRPr="00673C8C">
            <w:rPr>
              <w:rFonts w:ascii="Arial" w:hAnsi="Arial" w:cs="Arial"/>
              <w:noProof/>
              <w:sz w:val="22"/>
              <w:szCs w:val="22"/>
              <w:lang w:val="es-ES"/>
            </w:rPr>
            <w:t>(Fundación IFRS, 2009)</w:t>
          </w:r>
          <w:r w:rsidRPr="00384CBC">
            <w:rPr>
              <w:rFonts w:ascii="Arial" w:hAnsi="Arial" w:cs="Arial"/>
              <w:sz w:val="22"/>
              <w:szCs w:val="22"/>
            </w:rPr>
            <w:fldChar w:fldCharType="end"/>
          </w:r>
        </w:sdtContent>
      </w:sdt>
      <w:r w:rsidRPr="00384CBC">
        <w:rPr>
          <w:rFonts w:ascii="Arial" w:hAnsi="Arial" w:cs="Arial"/>
          <w:sz w:val="22"/>
          <w:szCs w:val="22"/>
        </w:rPr>
        <w:t>.</w:t>
      </w:r>
    </w:p>
    <w:p w14:paraId="045D1998" w14:textId="77777777" w:rsidR="00673C8C" w:rsidRPr="00384CBC" w:rsidRDefault="00673C8C" w:rsidP="00673C8C">
      <w:pPr>
        <w:rPr>
          <w:rFonts w:ascii="Arial" w:hAnsi="Arial" w:cs="Arial"/>
          <w:sz w:val="22"/>
          <w:szCs w:val="22"/>
        </w:rPr>
      </w:pPr>
    </w:p>
    <w:p w14:paraId="02AB89DB" w14:textId="77777777" w:rsidR="00673C8C" w:rsidRPr="00717B89" w:rsidRDefault="00673C8C" w:rsidP="00673C8C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  <w:bookmarkStart w:id="2" w:name="_Toc508477141"/>
      <w:r w:rsidRPr="00717B89">
        <w:rPr>
          <w:rFonts w:ascii="Arial" w:hAnsi="Arial" w:cs="Arial"/>
          <w:b/>
          <w:sz w:val="22"/>
          <w:szCs w:val="22"/>
        </w:rPr>
        <w:t>Actividades de inversión</w:t>
      </w:r>
      <w:bookmarkEnd w:id="2"/>
    </w:p>
    <w:p w14:paraId="09D43B6D" w14:textId="77777777" w:rsidR="00673C8C" w:rsidRDefault="00673C8C" w:rsidP="00673C8C">
      <w:pPr>
        <w:rPr>
          <w:rFonts w:ascii="Arial" w:hAnsi="Arial" w:cs="Arial"/>
          <w:sz w:val="22"/>
          <w:szCs w:val="22"/>
        </w:rPr>
      </w:pPr>
    </w:p>
    <w:p w14:paraId="2DF8862A" w14:textId="77777777" w:rsidR="00673C8C" w:rsidRPr="00384CBC" w:rsidRDefault="00673C8C" w:rsidP="00673C8C">
      <w:pPr>
        <w:rPr>
          <w:rFonts w:ascii="Arial" w:hAnsi="Arial" w:cs="Arial"/>
          <w:sz w:val="22"/>
          <w:szCs w:val="22"/>
        </w:rPr>
      </w:pPr>
      <w:proofErr w:type="gramStart"/>
      <w:r w:rsidRPr="00384CBC">
        <w:rPr>
          <w:rFonts w:ascii="Arial" w:hAnsi="Arial" w:cs="Arial"/>
          <w:sz w:val="22"/>
          <w:szCs w:val="22"/>
        </w:rPr>
        <w:t xml:space="preserve">Las </w:t>
      </w:r>
      <w:proofErr w:type="spellStart"/>
      <w:r w:rsidRPr="00384CBC">
        <w:rPr>
          <w:rFonts w:ascii="Arial" w:hAnsi="Arial" w:cs="Arial"/>
          <w:sz w:val="22"/>
          <w:szCs w:val="22"/>
        </w:rPr>
        <w:t>actividades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inversión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según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La IFRS (2009), son </w:t>
      </w:r>
      <w:proofErr w:type="spellStart"/>
      <w:r w:rsidRPr="00384CBC">
        <w:rPr>
          <w:rFonts w:ascii="Arial" w:hAnsi="Arial" w:cs="Arial"/>
          <w:sz w:val="22"/>
          <w:szCs w:val="22"/>
        </w:rPr>
        <w:t>las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adquisición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384CBC">
        <w:rPr>
          <w:rFonts w:ascii="Arial" w:hAnsi="Arial" w:cs="Arial"/>
          <w:sz w:val="22"/>
          <w:szCs w:val="22"/>
        </w:rPr>
        <w:t>disposición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activos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a largo </w:t>
      </w:r>
      <w:proofErr w:type="spellStart"/>
      <w:r w:rsidRPr="00384CBC">
        <w:rPr>
          <w:rFonts w:ascii="Arial" w:hAnsi="Arial" w:cs="Arial"/>
          <w:sz w:val="22"/>
          <w:szCs w:val="22"/>
        </w:rPr>
        <w:t>plazo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, y </w:t>
      </w:r>
      <w:proofErr w:type="spellStart"/>
      <w:r w:rsidRPr="00384CBC">
        <w:rPr>
          <w:rFonts w:ascii="Arial" w:hAnsi="Arial" w:cs="Arial"/>
          <w:sz w:val="22"/>
          <w:szCs w:val="22"/>
        </w:rPr>
        <w:t>otras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inversiones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384CBC">
        <w:rPr>
          <w:rFonts w:ascii="Arial" w:hAnsi="Arial" w:cs="Arial"/>
          <w:sz w:val="22"/>
          <w:szCs w:val="22"/>
        </w:rPr>
        <w:t>incluidas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384CBC">
        <w:rPr>
          <w:rFonts w:ascii="Arial" w:hAnsi="Arial" w:cs="Arial"/>
          <w:sz w:val="22"/>
          <w:szCs w:val="22"/>
        </w:rPr>
        <w:t>equivalentes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384CBC">
        <w:rPr>
          <w:rFonts w:ascii="Arial" w:hAnsi="Arial" w:cs="Arial"/>
          <w:sz w:val="22"/>
          <w:szCs w:val="22"/>
        </w:rPr>
        <w:t>efectivo</w:t>
      </w:r>
      <w:proofErr w:type="spellEnd"/>
      <w:r w:rsidRPr="00384CBC">
        <w:rPr>
          <w:rFonts w:ascii="Arial" w:hAnsi="Arial" w:cs="Arial"/>
          <w:sz w:val="22"/>
          <w:szCs w:val="22"/>
        </w:rPr>
        <w:t>.</w:t>
      </w:r>
      <w:proofErr w:type="gram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Ejemplos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flujos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efectivo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por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actividades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inversión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son:</w:t>
      </w:r>
    </w:p>
    <w:p w14:paraId="323FC141" w14:textId="77777777" w:rsidR="00673C8C" w:rsidRPr="00384CBC" w:rsidRDefault="00673C8C" w:rsidP="00673C8C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Pagos por la adquisición de propiedades, planta y equipo (incluidos trabajos realizados por la entidad para sus propiedades, planta y equipo), activos intangibles y otros activos a largo plazo.</w:t>
      </w:r>
    </w:p>
    <w:p w14:paraId="52E5BA8F" w14:textId="77777777" w:rsidR="00673C8C" w:rsidRPr="00384CBC" w:rsidRDefault="00673C8C" w:rsidP="00673C8C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Cobros por ventas de propiedades, planta y equipo, activos intangibles y otros activos a largo plazo.</w:t>
      </w:r>
    </w:p>
    <w:p w14:paraId="5232DD46" w14:textId="77777777" w:rsidR="00673C8C" w:rsidRPr="00A51396" w:rsidRDefault="00673C8C" w:rsidP="00673C8C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Pagos por la adquisición de instrumentos de patrimonio o de deuda emitidos por otras entidades y participaciones en negocios conjuntos (distintos de los pagos por esos instrumentos clasificados como equivalentes al efectivo, o mantenidos para intermediación o negociar).</w:t>
      </w:r>
    </w:p>
    <w:p w14:paraId="045F9602" w14:textId="77777777" w:rsidR="00673C8C" w:rsidRPr="00384CBC" w:rsidRDefault="00673C8C" w:rsidP="00673C8C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Cobros por la venta de instrumentos de patrimonio o de deuda emitidos por otras entidades y participaciones en negocios conjuntos (distintos de los cobros por esos instrumentos clasificados como equivalentes de efectivo o mantenidos para intermediación o negociar).</w:t>
      </w:r>
    </w:p>
    <w:p w14:paraId="620A7A74" w14:textId="77777777" w:rsidR="00673C8C" w:rsidRPr="00384CBC" w:rsidRDefault="00673C8C" w:rsidP="00673C8C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Anticipos de efectivo y préstamos a terceros.</w:t>
      </w:r>
    </w:p>
    <w:p w14:paraId="4708A907" w14:textId="77777777" w:rsidR="00673C8C" w:rsidRPr="00384CBC" w:rsidRDefault="00673C8C" w:rsidP="00673C8C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Cobros procedentes del reembolso de anticipos y préstamos a terceros.</w:t>
      </w:r>
    </w:p>
    <w:p w14:paraId="3249592C" w14:textId="77777777" w:rsidR="00673C8C" w:rsidRPr="00384CBC" w:rsidRDefault="00673C8C" w:rsidP="00673C8C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Pagos procedentes de contratos de futuros, a término, de opción y de permuta financiera, excepto cuando los contratos se mantengan por intermediación o para negociar, o cuando los pagos se clasifiquen como actividades de financiación.</w:t>
      </w:r>
    </w:p>
    <w:p w14:paraId="42EEA87A" w14:textId="77777777" w:rsidR="00673C8C" w:rsidRPr="00384CBC" w:rsidRDefault="00673C8C" w:rsidP="00673C8C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Cobros procedentes de contratos de futuros, a término, de opción y de permuta financiera, excepto cuando los contratos se mantengan por intermediación o para negociar, o cuando los cobros se clasifiquen como actividades de financiación.</w:t>
      </w:r>
    </w:p>
    <w:p w14:paraId="58C232B3" w14:textId="77777777" w:rsidR="00673C8C" w:rsidRPr="00384CBC" w:rsidRDefault="00673C8C" w:rsidP="00673C8C">
      <w:pPr>
        <w:rPr>
          <w:rFonts w:ascii="Arial" w:hAnsi="Arial" w:cs="Arial"/>
          <w:sz w:val="22"/>
          <w:szCs w:val="22"/>
        </w:rPr>
      </w:pPr>
    </w:p>
    <w:p w14:paraId="2D1FE9D3" w14:textId="77777777" w:rsidR="00673C8C" w:rsidRDefault="00673C8C" w:rsidP="00673C8C">
      <w:pPr>
        <w:rPr>
          <w:rFonts w:ascii="Arial" w:hAnsi="Arial" w:cs="Arial"/>
          <w:sz w:val="22"/>
          <w:szCs w:val="22"/>
        </w:rPr>
      </w:pPr>
      <w:proofErr w:type="spellStart"/>
      <w:r w:rsidRPr="00384CBC">
        <w:rPr>
          <w:rFonts w:ascii="Arial" w:hAnsi="Arial" w:cs="Arial"/>
          <w:sz w:val="22"/>
          <w:szCs w:val="22"/>
        </w:rPr>
        <w:t>Cuando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384CBC">
        <w:rPr>
          <w:rFonts w:ascii="Arial" w:hAnsi="Arial" w:cs="Arial"/>
          <w:sz w:val="22"/>
          <w:szCs w:val="22"/>
        </w:rPr>
        <w:t>contrato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84CBC">
        <w:rPr>
          <w:rFonts w:ascii="Arial" w:hAnsi="Arial" w:cs="Arial"/>
          <w:sz w:val="22"/>
          <w:szCs w:val="22"/>
        </w:rPr>
        <w:t>contabiliza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como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una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cobertura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84CBC">
        <w:rPr>
          <w:rFonts w:ascii="Arial" w:hAnsi="Arial" w:cs="Arial"/>
          <w:sz w:val="22"/>
          <w:szCs w:val="22"/>
        </w:rPr>
        <w:t>véase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384CBC">
        <w:rPr>
          <w:rFonts w:ascii="Arial" w:hAnsi="Arial" w:cs="Arial"/>
          <w:sz w:val="22"/>
          <w:szCs w:val="22"/>
        </w:rPr>
        <w:t>Sección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12 </w:t>
      </w:r>
      <w:proofErr w:type="spellStart"/>
      <w:r w:rsidRPr="00384CBC">
        <w:rPr>
          <w:rFonts w:ascii="Arial" w:hAnsi="Arial" w:cs="Arial"/>
          <w:sz w:val="22"/>
          <w:szCs w:val="22"/>
        </w:rPr>
        <w:t>Otros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Tema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relacionados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con los </w:t>
      </w:r>
      <w:proofErr w:type="spellStart"/>
      <w:r w:rsidRPr="00384CBC">
        <w:rPr>
          <w:rFonts w:ascii="Arial" w:hAnsi="Arial" w:cs="Arial"/>
          <w:sz w:val="22"/>
          <w:szCs w:val="22"/>
        </w:rPr>
        <w:t>Instrumentos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Financieros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384CBC">
        <w:rPr>
          <w:rFonts w:ascii="Arial" w:hAnsi="Arial" w:cs="Arial"/>
          <w:sz w:val="22"/>
          <w:szCs w:val="22"/>
        </w:rPr>
        <w:t>una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entidad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clasificará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los </w:t>
      </w:r>
      <w:proofErr w:type="spellStart"/>
      <w:r w:rsidRPr="00384CBC">
        <w:rPr>
          <w:rFonts w:ascii="Arial" w:hAnsi="Arial" w:cs="Arial"/>
          <w:sz w:val="22"/>
          <w:szCs w:val="22"/>
        </w:rPr>
        <w:t>flujos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efectivo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384CBC">
        <w:rPr>
          <w:rFonts w:ascii="Arial" w:hAnsi="Arial" w:cs="Arial"/>
          <w:sz w:val="22"/>
          <w:szCs w:val="22"/>
        </w:rPr>
        <w:t>contrato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384CBC">
        <w:rPr>
          <w:rFonts w:ascii="Arial" w:hAnsi="Arial" w:cs="Arial"/>
          <w:sz w:val="22"/>
          <w:szCs w:val="22"/>
        </w:rPr>
        <w:t>misma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forma </w:t>
      </w:r>
      <w:proofErr w:type="spellStart"/>
      <w:r w:rsidRPr="00384CBC">
        <w:rPr>
          <w:rFonts w:ascii="Arial" w:hAnsi="Arial" w:cs="Arial"/>
          <w:sz w:val="22"/>
          <w:szCs w:val="22"/>
        </w:rPr>
        <w:t>que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los </w:t>
      </w:r>
      <w:proofErr w:type="spellStart"/>
      <w:r w:rsidRPr="00384CBC">
        <w:rPr>
          <w:rFonts w:ascii="Arial" w:hAnsi="Arial" w:cs="Arial"/>
          <w:sz w:val="22"/>
          <w:szCs w:val="22"/>
        </w:rPr>
        <w:t>flujos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efectivo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384CBC">
        <w:rPr>
          <w:rFonts w:ascii="Arial" w:hAnsi="Arial" w:cs="Arial"/>
          <w:sz w:val="22"/>
          <w:szCs w:val="22"/>
        </w:rPr>
        <w:t>partida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que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está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siendo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cubierta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92434515"/>
          <w:citation/>
        </w:sdtPr>
        <w:sdtContent>
          <w:r w:rsidRPr="00384CBC">
            <w:rPr>
              <w:rFonts w:ascii="Arial" w:hAnsi="Arial" w:cs="Arial"/>
              <w:sz w:val="22"/>
              <w:szCs w:val="22"/>
            </w:rPr>
            <w:fldChar w:fldCharType="begin"/>
          </w:r>
          <w:r w:rsidRPr="00384CBC">
            <w:rPr>
              <w:rFonts w:ascii="Arial" w:hAnsi="Arial" w:cs="Arial"/>
              <w:sz w:val="22"/>
              <w:szCs w:val="22"/>
              <w:lang w:val="es-ES"/>
            </w:rPr>
            <w:instrText xml:space="preserve">CITATION Fun11 \l 3082 </w:instrText>
          </w:r>
          <w:r w:rsidRPr="00384CBC">
            <w:rPr>
              <w:rFonts w:ascii="Arial" w:hAnsi="Arial" w:cs="Arial"/>
              <w:sz w:val="22"/>
              <w:szCs w:val="22"/>
            </w:rPr>
            <w:fldChar w:fldCharType="separate"/>
          </w:r>
          <w:r w:rsidRPr="00673C8C">
            <w:rPr>
              <w:rFonts w:ascii="Arial" w:hAnsi="Arial" w:cs="Arial"/>
              <w:noProof/>
              <w:sz w:val="22"/>
              <w:szCs w:val="22"/>
              <w:lang w:val="es-ES"/>
            </w:rPr>
            <w:t>(Fundación IFRS, 2009)</w:t>
          </w:r>
          <w:r w:rsidRPr="00384CBC">
            <w:rPr>
              <w:rFonts w:ascii="Arial" w:hAnsi="Arial" w:cs="Arial"/>
              <w:sz w:val="22"/>
              <w:szCs w:val="22"/>
            </w:rPr>
            <w:fldChar w:fldCharType="end"/>
          </w:r>
        </w:sdtContent>
      </w:sdt>
      <w:r w:rsidRPr="00384CBC">
        <w:rPr>
          <w:rFonts w:ascii="Arial" w:hAnsi="Arial" w:cs="Arial"/>
          <w:sz w:val="22"/>
          <w:szCs w:val="22"/>
        </w:rPr>
        <w:t>.</w:t>
      </w:r>
    </w:p>
    <w:p w14:paraId="3C5A139A" w14:textId="77777777" w:rsidR="00673C8C" w:rsidRPr="008E6502" w:rsidRDefault="00673C8C" w:rsidP="00673C8C">
      <w:pPr>
        <w:rPr>
          <w:rFonts w:ascii="Arial" w:hAnsi="Arial" w:cs="Arial"/>
          <w:sz w:val="22"/>
          <w:szCs w:val="22"/>
          <w:lang w:val="es-CO"/>
        </w:rPr>
      </w:pPr>
    </w:p>
    <w:p w14:paraId="66AECD84" w14:textId="77777777" w:rsidR="00673C8C" w:rsidRPr="00717B89" w:rsidRDefault="00673C8C" w:rsidP="00673C8C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  <w:bookmarkStart w:id="3" w:name="_Toc508477142"/>
      <w:r w:rsidRPr="00717B89">
        <w:rPr>
          <w:rFonts w:ascii="Arial" w:hAnsi="Arial" w:cs="Arial"/>
          <w:b/>
          <w:sz w:val="22"/>
          <w:szCs w:val="22"/>
        </w:rPr>
        <w:t>Actividades de financiación</w:t>
      </w:r>
      <w:bookmarkEnd w:id="3"/>
      <w:r w:rsidRPr="00717B89">
        <w:rPr>
          <w:rFonts w:ascii="Arial" w:hAnsi="Arial" w:cs="Arial"/>
          <w:b/>
          <w:sz w:val="22"/>
          <w:szCs w:val="22"/>
        </w:rPr>
        <w:t xml:space="preserve"> </w:t>
      </w:r>
    </w:p>
    <w:p w14:paraId="5B0F213C" w14:textId="77777777" w:rsidR="00673C8C" w:rsidRDefault="00673C8C" w:rsidP="00673C8C">
      <w:pPr>
        <w:rPr>
          <w:rFonts w:ascii="Arial" w:hAnsi="Arial" w:cs="Arial"/>
          <w:sz w:val="22"/>
          <w:szCs w:val="22"/>
        </w:rPr>
      </w:pPr>
    </w:p>
    <w:p w14:paraId="6E7AE44B" w14:textId="77777777" w:rsidR="00673C8C" w:rsidRPr="00384CBC" w:rsidRDefault="00673C8C" w:rsidP="00673C8C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84CBC">
        <w:rPr>
          <w:rFonts w:ascii="Arial" w:hAnsi="Arial" w:cs="Arial"/>
          <w:sz w:val="22"/>
          <w:szCs w:val="22"/>
        </w:rPr>
        <w:t>Actividades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financiación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son </w:t>
      </w:r>
      <w:proofErr w:type="spellStart"/>
      <w:r w:rsidRPr="00384CBC">
        <w:rPr>
          <w:rFonts w:ascii="Arial" w:hAnsi="Arial" w:cs="Arial"/>
          <w:sz w:val="22"/>
          <w:szCs w:val="22"/>
        </w:rPr>
        <w:t>las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actividades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que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dan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lugar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84CBC">
        <w:rPr>
          <w:rFonts w:ascii="Arial" w:hAnsi="Arial" w:cs="Arial"/>
          <w:sz w:val="22"/>
          <w:szCs w:val="22"/>
        </w:rPr>
        <w:t>cambios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en el </w:t>
      </w:r>
      <w:proofErr w:type="spellStart"/>
      <w:r w:rsidRPr="00384CBC">
        <w:rPr>
          <w:rFonts w:ascii="Arial" w:hAnsi="Arial" w:cs="Arial"/>
          <w:sz w:val="22"/>
          <w:szCs w:val="22"/>
        </w:rPr>
        <w:t>tamaño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384CBC">
        <w:rPr>
          <w:rFonts w:ascii="Arial" w:hAnsi="Arial" w:cs="Arial"/>
          <w:sz w:val="22"/>
          <w:szCs w:val="22"/>
        </w:rPr>
        <w:t>composición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los </w:t>
      </w:r>
      <w:proofErr w:type="spellStart"/>
      <w:r w:rsidRPr="00384CBC">
        <w:rPr>
          <w:rFonts w:ascii="Arial" w:hAnsi="Arial" w:cs="Arial"/>
          <w:sz w:val="22"/>
          <w:szCs w:val="22"/>
        </w:rPr>
        <w:t>capitales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aportados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y de los </w:t>
      </w:r>
      <w:proofErr w:type="spellStart"/>
      <w:r w:rsidRPr="00384CBC">
        <w:rPr>
          <w:rFonts w:ascii="Arial" w:hAnsi="Arial" w:cs="Arial"/>
          <w:sz w:val="22"/>
          <w:szCs w:val="22"/>
        </w:rPr>
        <w:t>préstamos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tomados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una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entidad</w:t>
      </w:r>
      <w:proofErr w:type="spellEnd"/>
      <w:r w:rsidRPr="00384CBC">
        <w:rPr>
          <w:rFonts w:ascii="Arial" w:hAnsi="Arial" w:cs="Arial"/>
          <w:sz w:val="22"/>
          <w:szCs w:val="22"/>
        </w:rPr>
        <w:t>.</w:t>
      </w:r>
      <w:proofErr w:type="gramEnd"/>
      <w:r w:rsidRPr="00384CBC">
        <w:rPr>
          <w:rFonts w:ascii="Arial" w:hAnsi="Arial" w:cs="Arial"/>
          <w:sz w:val="22"/>
          <w:szCs w:val="22"/>
        </w:rPr>
        <w:t xml:space="preserve"> Son </w:t>
      </w:r>
      <w:proofErr w:type="spellStart"/>
      <w:r w:rsidRPr="00384CBC">
        <w:rPr>
          <w:rFonts w:ascii="Arial" w:hAnsi="Arial" w:cs="Arial"/>
          <w:sz w:val="22"/>
          <w:szCs w:val="22"/>
        </w:rPr>
        <w:t>ejemplos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flujos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efectivo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por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CBC">
        <w:rPr>
          <w:rFonts w:ascii="Arial" w:hAnsi="Arial" w:cs="Arial"/>
          <w:sz w:val="22"/>
          <w:szCs w:val="22"/>
        </w:rPr>
        <w:t>actividades</w:t>
      </w:r>
      <w:proofErr w:type="spellEnd"/>
      <w:r w:rsidRPr="00384CB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84CBC">
        <w:rPr>
          <w:rFonts w:ascii="Arial" w:hAnsi="Arial" w:cs="Arial"/>
          <w:sz w:val="22"/>
          <w:szCs w:val="22"/>
        </w:rPr>
        <w:t>financiación</w:t>
      </w:r>
      <w:proofErr w:type="spellEnd"/>
      <w:r w:rsidRPr="00384CBC">
        <w:rPr>
          <w:rFonts w:ascii="Arial" w:hAnsi="Arial" w:cs="Arial"/>
          <w:sz w:val="22"/>
          <w:szCs w:val="22"/>
        </w:rPr>
        <w:t>:</w:t>
      </w:r>
    </w:p>
    <w:p w14:paraId="7B9507DB" w14:textId="77777777" w:rsidR="00673C8C" w:rsidRPr="00384CBC" w:rsidRDefault="00673C8C" w:rsidP="00673C8C">
      <w:pPr>
        <w:rPr>
          <w:rFonts w:ascii="Arial" w:hAnsi="Arial" w:cs="Arial"/>
          <w:sz w:val="22"/>
          <w:szCs w:val="22"/>
        </w:rPr>
      </w:pPr>
    </w:p>
    <w:p w14:paraId="1F5B4B15" w14:textId="77777777" w:rsidR="00673C8C" w:rsidRPr="00384CBC" w:rsidRDefault="00673C8C" w:rsidP="00673C8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Cobros procedentes de la emisión de acciones u otros instrumentos de capital.</w:t>
      </w:r>
    </w:p>
    <w:p w14:paraId="0C5C151C" w14:textId="77777777" w:rsidR="00673C8C" w:rsidRPr="00384CBC" w:rsidRDefault="00673C8C" w:rsidP="00673C8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Pagos a los propietarios por adquirir o rescatar las acciones de la entidad.</w:t>
      </w:r>
    </w:p>
    <w:p w14:paraId="43A29AA7" w14:textId="77777777" w:rsidR="00673C8C" w:rsidRPr="00384CBC" w:rsidRDefault="00673C8C" w:rsidP="00673C8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lastRenderedPageBreak/>
        <w:t>Cobros procedentes de la emisión de obligaciones, préstamos, pagarés, bonos, hipotecas y otros préstamos a corto o largo plazo.</w:t>
      </w:r>
    </w:p>
    <w:p w14:paraId="5013DD72" w14:textId="77777777" w:rsidR="00673C8C" w:rsidRPr="00384CBC" w:rsidRDefault="00673C8C" w:rsidP="00673C8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Reembolsos de los importes de préstamos.</w:t>
      </w:r>
    </w:p>
    <w:p w14:paraId="25234405" w14:textId="77777777" w:rsidR="00673C8C" w:rsidRPr="00384CBC" w:rsidRDefault="00673C8C" w:rsidP="00673C8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384CBC">
        <w:rPr>
          <w:rFonts w:ascii="Arial" w:hAnsi="Arial" w:cs="Arial"/>
          <w:sz w:val="22"/>
          <w:szCs w:val="22"/>
        </w:rPr>
        <w:t>Pagos realizados por un arrendatario para reducir la deuda pendiente relacionada con un arrendamiento financiero.</w:t>
      </w:r>
    </w:p>
    <w:p w14:paraId="54F532FB" w14:textId="77777777" w:rsidR="00673C8C" w:rsidRDefault="00673C8C"/>
    <w:sectPr w:rsidR="00673C8C" w:rsidSect="00C408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187"/>
    <w:multiLevelType w:val="hybridMultilevel"/>
    <w:tmpl w:val="E26C0980"/>
    <w:lvl w:ilvl="0" w:tplc="BBC62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0A7F"/>
    <w:multiLevelType w:val="hybridMultilevel"/>
    <w:tmpl w:val="8C3E90F0"/>
    <w:lvl w:ilvl="0" w:tplc="787A4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157EB"/>
    <w:multiLevelType w:val="hybridMultilevel"/>
    <w:tmpl w:val="692E7D3E"/>
    <w:lvl w:ilvl="0" w:tplc="1F345D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63A62"/>
    <w:multiLevelType w:val="multilevel"/>
    <w:tmpl w:val="9454C06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8C"/>
    <w:rsid w:val="00673C8C"/>
    <w:rsid w:val="00744332"/>
    <w:rsid w:val="00C4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2B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3C8C"/>
    <w:pPr>
      <w:keepNext/>
      <w:keepLines/>
      <w:numPr>
        <w:numId w:val="1"/>
      </w:numPr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Cs w:val="32"/>
      <w:lang w:val="es-CO" w:eastAsia="es-C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3C8C"/>
    <w:pPr>
      <w:keepNext/>
      <w:keepLines/>
      <w:numPr>
        <w:ilvl w:val="1"/>
        <w:numId w:val="1"/>
      </w:numPr>
      <w:spacing w:before="200"/>
      <w:outlineLvl w:val="1"/>
    </w:pPr>
    <w:rPr>
      <w:rFonts w:ascii="Times New Roman" w:eastAsiaTheme="majorEastAsia" w:hAnsi="Times New Roman" w:cstheme="majorBidi"/>
      <w:b/>
      <w:bCs/>
      <w:szCs w:val="26"/>
      <w:lang w:val="es-CO"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C8C"/>
    <w:pPr>
      <w:keepNext/>
      <w:keepLines/>
      <w:numPr>
        <w:ilvl w:val="2"/>
        <w:numId w:val="1"/>
      </w:numPr>
      <w:spacing w:before="200"/>
      <w:outlineLvl w:val="2"/>
    </w:pPr>
    <w:rPr>
      <w:rFonts w:ascii="Times New Roman" w:eastAsiaTheme="majorEastAsia" w:hAnsi="Times New Roman" w:cstheme="majorBidi"/>
      <w:bCs/>
      <w:szCs w:val="20"/>
      <w:lang w:val="es-CO" w:eastAsia="es-C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C8C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CO"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C8C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val="es-CO"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C8C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CO"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C8C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CO"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8C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C8C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C8C"/>
    <w:rPr>
      <w:rFonts w:ascii="Times New Roman" w:eastAsiaTheme="majorEastAsia" w:hAnsi="Times New Roman" w:cstheme="majorBidi"/>
      <w:b/>
      <w:bCs/>
      <w:szCs w:val="32"/>
      <w:lang w:val="es-CO"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673C8C"/>
    <w:rPr>
      <w:rFonts w:ascii="Times New Roman" w:eastAsiaTheme="majorEastAsia" w:hAnsi="Times New Roman" w:cstheme="majorBidi"/>
      <w:b/>
      <w:bCs/>
      <w:szCs w:val="26"/>
      <w:lang w:val="es-CO"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673C8C"/>
    <w:rPr>
      <w:rFonts w:ascii="Times New Roman" w:eastAsiaTheme="majorEastAsia" w:hAnsi="Times New Roman" w:cstheme="majorBidi"/>
      <w:bCs/>
      <w:szCs w:val="20"/>
      <w:lang w:val="es-CO" w:eastAsia="es-C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C8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CO"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C8C"/>
    <w:rPr>
      <w:rFonts w:asciiTheme="majorHAnsi" w:eastAsiaTheme="majorEastAsia" w:hAnsiTheme="majorHAnsi" w:cstheme="majorBidi"/>
      <w:color w:val="243F60" w:themeColor="accent1" w:themeShade="7F"/>
      <w:szCs w:val="20"/>
      <w:lang w:val="es-CO"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C8C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C8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C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 w:eastAsia="es-CO"/>
    </w:rPr>
  </w:style>
  <w:style w:type="paragraph" w:styleId="ListParagraph">
    <w:name w:val="List Paragraph"/>
    <w:basedOn w:val="Normal"/>
    <w:uiPriority w:val="34"/>
    <w:qFormat/>
    <w:rsid w:val="00673C8C"/>
    <w:pPr>
      <w:ind w:left="720"/>
      <w:contextualSpacing/>
      <w:jc w:val="both"/>
    </w:pPr>
    <w:rPr>
      <w:rFonts w:ascii="Times New Roman" w:eastAsia="Times New Roman" w:hAnsi="Times New Roman" w:cs="Times New Roman"/>
      <w:szCs w:val="20"/>
      <w:lang w:val="es-CO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C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3C8C"/>
    <w:pPr>
      <w:keepNext/>
      <w:keepLines/>
      <w:numPr>
        <w:numId w:val="1"/>
      </w:numPr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Cs w:val="32"/>
      <w:lang w:val="es-CO" w:eastAsia="es-C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3C8C"/>
    <w:pPr>
      <w:keepNext/>
      <w:keepLines/>
      <w:numPr>
        <w:ilvl w:val="1"/>
        <w:numId w:val="1"/>
      </w:numPr>
      <w:spacing w:before="200"/>
      <w:outlineLvl w:val="1"/>
    </w:pPr>
    <w:rPr>
      <w:rFonts w:ascii="Times New Roman" w:eastAsiaTheme="majorEastAsia" w:hAnsi="Times New Roman" w:cstheme="majorBidi"/>
      <w:b/>
      <w:bCs/>
      <w:szCs w:val="26"/>
      <w:lang w:val="es-CO"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C8C"/>
    <w:pPr>
      <w:keepNext/>
      <w:keepLines/>
      <w:numPr>
        <w:ilvl w:val="2"/>
        <w:numId w:val="1"/>
      </w:numPr>
      <w:spacing w:before="200"/>
      <w:outlineLvl w:val="2"/>
    </w:pPr>
    <w:rPr>
      <w:rFonts w:ascii="Times New Roman" w:eastAsiaTheme="majorEastAsia" w:hAnsi="Times New Roman" w:cstheme="majorBidi"/>
      <w:bCs/>
      <w:szCs w:val="20"/>
      <w:lang w:val="es-CO" w:eastAsia="es-C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C8C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CO"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C8C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val="es-CO"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C8C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CO"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C8C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CO"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8C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C8C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C8C"/>
    <w:rPr>
      <w:rFonts w:ascii="Times New Roman" w:eastAsiaTheme="majorEastAsia" w:hAnsi="Times New Roman" w:cstheme="majorBidi"/>
      <w:b/>
      <w:bCs/>
      <w:szCs w:val="32"/>
      <w:lang w:val="es-CO"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673C8C"/>
    <w:rPr>
      <w:rFonts w:ascii="Times New Roman" w:eastAsiaTheme="majorEastAsia" w:hAnsi="Times New Roman" w:cstheme="majorBidi"/>
      <w:b/>
      <w:bCs/>
      <w:szCs w:val="26"/>
      <w:lang w:val="es-CO"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673C8C"/>
    <w:rPr>
      <w:rFonts w:ascii="Times New Roman" w:eastAsiaTheme="majorEastAsia" w:hAnsi="Times New Roman" w:cstheme="majorBidi"/>
      <w:bCs/>
      <w:szCs w:val="20"/>
      <w:lang w:val="es-CO" w:eastAsia="es-C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C8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CO"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C8C"/>
    <w:rPr>
      <w:rFonts w:asciiTheme="majorHAnsi" w:eastAsiaTheme="majorEastAsia" w:hAnsiTheme="majorHAnsi" w:cstheme="majorBidi"/>
      <w:color w:val="243F60" w:themeColor="accent1" w:themeShade="7F"/>
      <w:szCs w:val="20"/>
      <w:lang w:val="es-CO"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C8C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C8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C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 w:eastAsia="es-CO"/>
    </w:rPr>
  </w:style>
  <w:style w:type="paragraph" w:styleId="ListParagraph">
    <w:name w:val="List Paragraph"/>
    <w:basedOn w:val="Normal"/>
    <w:uiPriority w:val="34"/>
    <w:qFormat/>
    <w:rsid w:val="00673C8C"/>
    <w:pPr>
      <w:ind w:left="720"/>
      <w:contextualSpacing/>
      <w:jc w:val="both"/>
    </w:pPr>
    <w:rPr>
      <w:rFonts w:ascii="Times New Roman" w:eastAsia="Times New Roman" w:hAnsi="Times New Roman" w:cs="Times New Roman"/>
      <w:szCs w:val="20"/>
      <w:lang w:val="es-CO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C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Fun11</b:Tag>
    <b:SourceType>Report</b:SourceType>
    <b:Guid>{FD3D9EE5-AFA1-402D-B193-E01716B3F7B2}</b:Guid>
    <b:Title>Módulo 7: Estados de Flujos de Efectivo</b:Title>
    <b:Year>2009</b:Year>
    <b:Author>
      <b:Author>
        <b:Corporate>Fundación IFRS</b:Corporate>
      </b:Author>
    </b:Author>
    <b:Publisher>IFRS Foundation®</b:Publisher>
    <b:City>London</b:City>
    <b:RefOrder>1</b:RefOrder>
  </b:Source>
</b:Sources>
</file>

<file path=customXml/itemProps1.xml><?xml version="1.0" encoding="utf-8"?>
<ds:datastoreItem xmlns:ds="http://schemas.openxmlformats.org/officeDocument/2006/customXml" ds:itemID="{42834F73-3189-074F-B31C-4498546E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3778</Characters>
  <Application>Microsoft Macintosh Word</Application>
  <DocSecurity>0</DocSecurity>
  <Lines>31</Lines>
  <Paragraphs>8</Paragraphs>
  <ScaleCrop>false</ScaleCrop>
  <Company>Personal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Blanco</dc:creator>
  <cp:keywords/>
  <dc:description/>
  <cp:lastModifiedBy>Silvia Blanco</cp:lastModifiedBy>
  <cp:revision>2</cp:revision>
  <dcterms:created xsi:type="dcterms:W3CDTF">2018-07-23T02:32:00Z</dcterms:created>
  <dcterms:modified xsi:type="dcterms:W3CDTF">2018-07-23T02:37:00Z</dcterms:modified>
</cp:coreProperties>
</file>