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00346" w14:textId="77777777" w:rsidR="0042313F" w:rsidRPr="0042313F" w:rsidRDefault="0042313F" w:rsidP="0042313F">
      <w:pPr>
        <w:jc w:val="center"/>
        <w:rPr>
          <w:rFonts w:ascii="Arial" w:hAnsi="Arial" w:cs="Arial"/>
          <w:b/>
          <w:sz w:val="22"/>
          <w:szCs w:val="22"/>
        </w:rPr>
      </w:pPr>
      <w:r w:rsidRPr="0042313F">
        <w:rPr>
          <w:rFonts w:ascii="Arial" w:hAnsi="Arial" w:cs="Arial"/>
          <w:b/>
          <w:sz w:val="22"/>
          <w:szCs w:val="22"/>
        </w:rPr>
        <w:t>Interactividad: Contablidad triangular</w:t>
      </w:r>
    </w:p>
    <w:p w14:paraId="172A76BD" w14:textId="77777777" w:rsidR="0042313F" w:rsidRDefault="0042313F" w:rsidP="0042313F">
      <w:pPr>
        <w:jc w:val="left"/>
        <w:rPr>
          <w:rFonts w:ascii="Arial" w:hAnsi="Arial" w:cs="Arial"/>
          <w:sz w:val="22"/>
          <w:szCs w:val="22"/>
        </w:rPr>
      </w:pPr>
    </w:p>
    <w:p w14:paraId="5319F020" w14:textId="77777777" w:rsidR="0042313F" w:rsidRPr="0042313F" w:rsidRDefault="0042313F" w:rsidP="0042313F">
      <w:pPr>
        <w:jc w:val="left"/>
        <w:rPr>
          <w:rFonts w:ascii="Arial" w:hAnsi="Arial" w:cs="Arial"/>
          <w:color w:val="FF0000"/>
          <w:sz w:val="22"/>
          <w:szCs w:val="22"/>
        </w:rPr>
      </w:pPr>
      <w:r w:rsidRPr="0042313F">
        <w:rPr>
          <w:rFonts w:ascii="Arial" w:hAnsi="Arial" w:cs="Arial"/>
          <w:color w:val="FF0000"/>
          <w:sz w:val="22"/>
          <w:szCs w:val="22"/>
        </w:rPr>
        <w:t>Por favor diseñar interactividad de acuerdo con el siguiente esquema:</w:t>
      </w:r>
    </w:p>
    <w:p w14:paraId="251DCFB2" w14:textId="77777777" w:rsidR="0042313F" w:rsidRDefault="0042313F" w:rsidP="0042313F">
      <w:pPr>
        <w:jc w:val="left"/>
        <w:rPr>
          <w:rFonts w:ascii="Arial" w:hAnsi="Arial" w:cs="Arial"/>
          <w:sz w:val="22"/>
          <w:szCs w:val="22"/>
        </w:rPr>
      </w:pPr>
    </w:p>
    <w:p w14:paraId="03B5B1DD" w14:textId="77777777" w:rsidR="0042313F" w:rsidRDefault="0042313F" w:rsidP="0042313F">
      <w:pPr>
        <w:jc w:val="left"/>
        <w:rPr>
          <w:rFonts w:ascii="Arial" w:hAnsi="Arial" w:cs="Arial"/>
          <w:sz w:val="22"/>
          <w:szCs w:val="22"/>
        </w:rPr>
      </w:pPr>
      <w:r>
        <w:rPr>
          <w:noProof/>
          <w:lang w:val="en-US" w:eastAsia="en-US"/>
        </w:rPr>
        <w:drawing>
          <wp:inline distT="114300" distB="114300" distL="114300" distR="114300" wp14:anchorId="654018F4" wp14:editId="670A4266">
            <wp:extent cx="4046567" cy="2986088"/>
            <wp:effectExtent l="0" t="0" r="0" b="0"/>
            <wp:docPr id="2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7"/>
                    <a:srcRect/>
                    <a:stretch>
                      <a:fillRect/>
                    </a:stretch>
                  </pic:blipFill>
                  <pic:spPr>
                    <a:xfrm>
                      <a:off x="0" y="0"/>
                      <a:ext cx="4046567" cy="2986088"/>
                    </a:xfrm>
                    <a:prstGeom prst="rect">
                      <a:avLst/>
                    </a:prstGeom>
                    <a:ln/>
                  </pic:spPr>
                </pic:pic>
              </a:graphicData>
            </a:graphic>
          </wp:inline>
        </w:drawing>
      </w:r>
    </w:p>
    <w:p w14:paraId="6C7528B9" w14:textId="77777777" w:rsidR="0042313F" w:rsidRDefault="0042313F" w:rsidP="0042313F">
      <w:pPr>
        <w:jc w:val="left"/>
        <w:rPr>
          <w:rFonts w:ascii="Arial" w:hAnsi="Arial" w:cs="Arial"/>
          <w:sz w:val="22"/>
          <w:szCs w:val="22"/>
        </w:rPr>
      </w:pPr>
    </w:p>
    <w:p w14:paraId="65A83F4F" w14:textId="77777777" w:rsidR="0042313F" w:rsidRDefault="0042313F" w:rsidP="0042313F">
      <w:pPr>
        <w:jc w:val="left"/>
        <w:rPr>
          <w:rFonts w:ascii="Arial" w:hAnsi="Arial" w:cs="Arial"/>
          <w:sz w:val="22"/>
          <w:szCs w:val="22"/>
        </w:rPr>
      </w:pPr>
      <w:r w:rsidRPr="0042313F">
        <w:rPr>
          <w:rFonts w:ascii="Arial" w:hAnsi="Arial" w:cs="Arial"/>
          <w:color w:val="FF0000"/>
          <w:sz w:val="22"/>
          <w:szCs w:val="22"/>
        </w:rPr>
        <w:t>Título:</w:t>
      </w:r>
      <w:r>
        <w:rPr>
          <w:rFonts w:ascii="Arial" w:hAnsi="Arial" w:cs="Arial"/>
          <w:sz w:val="22"/>
          <w:szCs w:val="22"/>
        </w:rPr>
        <w:t xml:space="preserve"> Contabilidad triangular</w:t>
      </w:r>
    </w:p>
    <w:p w14:paraId="0291AE84" w14:textId="77777777" w:rsidR="0042313F" w:rsidRDefault="0042313F" w:rsidP="0042313F">
      <w:pPr>
        <w:jc w:val="left"/>
        <w:rPr>
          <w:rFonts w:ascii="Arial" w:hAnsi="Arial" w:cs="Arial"/>
          <w:sz w:val="22"/>
          <w:szCs w:val="22"/>
        </w:rPr>
      </w:pPr>
    </w:p>
    <w:p w14:paraId="29E0B840" w14:textId="77777777" w:rsidR="0042313F" w:rsidRDefault="0042313F" w:rsidP="0042313F">
      <w:pPr>
        <w:jc w:val="left"/>
        <w:rPr>
          <w:rFonts w:ascii="Arial" w:hAnsi="Arial" w:cs="Arial"/>
          <w:sz w:val="22"/>
          <w:szCs w:val="22"/>
        </w:rPr>
      </w:pPr>
      <w:r w:rsidRPr="0042313F">
        <w:rPr>
          <w:rFonts w:ascii="Arial" w:hAnsi="Arial" w:cs="Arial"/>
          <w:color w:val="FF0000"/>
          <w:sz w:val="22"/>
          <w:szCs w:val="22"/>
        </w:rPr>
        <w:t>Instrucción:</w:t>
      </w:r>
      <w:r>
        <w:rPr>
          <w:rFonts w:ascii="Arial" w:hAnsi="Arial" w:cs="Arial"/>
          <w:sz w:val="22"/>
          <w:szCs w:val="22"/>
        </w:rPr>
        <w:t xml:space="preserve"> Haga clic sobre cada subtema, con el fin de conocer su contenido.</w:t>
      </w:r>
    </w:p>
    <w:p w14:paraId="2D092EDE" w14:textId="77777777" w:rsidR="0042313F" w:rsidRDefault="0042313F" w:rsidP="0042313F">
      <w:pPr>
        <w:jc w:val="left"/>
        <w:rPr>
          <w:rFonts w:ascii="Arial" w:hAnsi="Arial" w:cs="Arial"/>
          <w:sz w:val="22"/>
          <w:szCs w:val="22"/>
        </w:rPr>
      </w:pPr>
    </w:p>
    <w:p w14:paraId="5457CD4B" w14:textId="77777777" w:rsidR="0042313F" w:rsidRPr="0042313F" w:rsidRDefault="0042313F" w:rsidP="0042313F">
      <w:pPr>
        <w:jc w:val="left"/>
        <w:rPr>
          <w:rFonts w:ascii="Arial" w:hAnsi="Arial" w:cs="Arial"/>
          <w:color w:val="FF0000"/>
          <w:sz w:val="22"/>
          <w:szCs w:val="22"/>
        </w:rPr>
      </w:pPr>
      <w:r w:rsidRPr="0042313F">
        <w:rPr>
          <w:rFonts w:ascii="Arial" w:hAnsi="Arial" w:cs="Arial"/>
          <w:color w:val="FF0000"/>
          <w:sz w:val="22"/>
          <w:szCs w:val="22"/>
        </w:rPr>
        <w:t>Información:</w:t>
      </w:r>
    </w:p>
    <w:p w14:paraId="476B9D7F" w14:textId="77777777" w:rsidR="0042313F" w:rsidRDefault="0042313F" w:rsidP="0042313F">
      <w:pPr>
        <w:jc w:val="left"/>
        <w:rPr>
          <w:rFonts w:ascii="Arial" w:hAnsi="Arial" w:cs="Arial"/>
          <w:sz w:val="22"/>
          <w:szCs w:val="22"/>
        </w:rPr>
      </w:pPr>
    </w:p>
    <w:p w14:paraId="0685F685" w14:textId="77777777" w:rsidR="0042313F" w:rsidRPr="0042313F" w:rsidRDefault="0042313F" w:rsidP="0042313F">
      <w:pPr>
        <w:jc w:val="left"/>
        <w:rPr>
          <w:rFonts w:ascii="Arial" w:hAnsi="Arial" w:cs="Arial"/>
          <w:b/>
          <w:sz w:val="22"/>
          <w:szCs w:val="22"/>
        </w:rPr>
      </w:pPr>
      <w:r>
        <w:rPr>
          <w:rFonts w:ascii="Arial" w:hAnsi="Arial" w:cs="Arial"/>
          <w:b/>
          <w:sz w:val="22"/>
          <w:szCs w:val="22"/>
        </w:rPr>
        <w:t xml:space="preserve">Título 1: </w:t>
      </w:r>
      <w:r w:rsidRPr="0042313F">
        <w:rPr>
          <w:rFonts w:ascii="Arial" w:hAnsi="Arial" w:cs="Arial"/>
          <w:b/>
          <w:sz w:val="22"/>
          <w:szCs w:val="22"/>
        </w:rPr>
        <w:t>Cuadre del asiento de partida triple</w:t>
      </w:r>
    </w:p>
    <w:p w14:paraId="5C4EF693" w14:textId="77777777" w:rsidR="0042313F" w:rsidRDefault="0042313F" w:rsidP="0042313F">
      <w:pPr>
        <w:jc w:val="left"/>
        <w:rPr>
          <w:rFonts w:ascii="Arial" w:hAnsi="Arial" w:cs="Arial"/>
          <w:sz w:val="22"/>
          <w:szCs w:val="22"/>
        </w:rPr>
      </w:pPr>
    </w:p>
    <w:p w14:paraId="5C565053" w14:textId="77777777" w:rsidR="0042313F" w:rsidRPr="00384CBC" w:rsidRDefault="0042313F" w:rsidP="0042313F">
      <w:pPr>
        <w:jc w:val="left"/>
        <w:rPr>
          <w:rFonts w:ascii="Arial" w:hAnsi="Arial" w:cs="Arial"/>
          <w:sz w:val="22"/>
          <w:szCs w:val="22"/>
        </w:rPr>
      </w:pPr>
      <w:r w:rsidRPr="00384CBC">
        <w:rPr>
          <w:rFonts w:ascii="Arial" w:hAnsi="Arial" w:cs="Arial"/>
          <w:sz w:val="22"/>
          <w:szCs w:val="22"/>
        </w:rPr>
        <w:t xml:space="preserve">De acuerdo con </w:t>
      </w:r>
      <w:sdt>
        <w:sdtPr>
          <w:rPr>
            <w:rFonts w:ascii="Arial" w:hAnsi="Arial" w:cs="Arial"/>
            <w:sz w:val="22"/>
            <w:szCs w:val="22"/>
          </w:rPr>
          <w:id w:val="159352328"/>
          <w:citation/>
        </w:sdtPr>
        <w:sdtEndPr/>
        <w:sdtContent>
          <w:r w:rsidRPr="00384CBC">
            <w:rPr>
              <w:rFonts w:ascii="Arial" w:hAnsi="Arial" w:cs="Arial"/>
              <w:sz w:val="22"/>
              <w:szCs w:val="22"/>
            </w:rPr>
            <w:fldChar w:fldCharType="begin"/>
          </w:r>
          <w:r w:rsidRPr="00384CBC">
            <w:rPr>
              <w:rFonts w:ascii="Arial" w:hAnsi="Arial" w:cs="Arial"/>
              <w:sz w:val="22"/>
              <w:szCs w:val="22"/>
            </w:rPr>
            <w:instrText xml:space="preserve">CITATION Arj12 \l 9226 </w:instrText>
          </w:r>
          <w:r w:rsidRPr="00384CBC">
            <w:rPr>
              <w:rFonts w:ascii="Arial" w:hAnsi="Arial" w:cs="Arial"/>
              <w:sz w:val="22"/>
              <w:szCs w:val="22"/>
            </w:rPr>
            <w:fldChar w:fldCharType="separate"/>
          </w:r>
          <w:r w:rsidRPr="0042313F">
            <w:rPr>
              <w:rFonts w:ascii="Arial" w:hAnsi="Arial" w:cs="Arial"/>
              <w:noProof/>
              <w:sz w:val="22"/>
              <w:szCs w:val="22"/>
            </w:rPr>
            <w:t>(Arjona, 2012)</w:t>
          </w:r>
          <w:r w:rsidRPr="00384CBC">
            <w:rPr>
              <w:rFonts w:ascii="Arial" w:hAnsi="Arial" w:cs="Arial"/>
              <w:sz w:val="22"/>
              <w:szCs w:val="22"/>
            </w:rPr>
            <w:fldChar w:fldCharType="end"/>
          </w:r>
        </w:sdtContent>
      </w:sdt>
      <w:r>
        <w:rPr>
          <w:rFonts w:ascii="Arial" w:hAnsi="Arial" w:cs="Arial"/>
          <w:sz w:val="22"/>
          <w:szCs w:val="22"/>
        </w:rPr>
        <w:t>, a</w:t>
      </w:r>
      <w:r w:rsidRPr="00384CBC">
        <w:rPr>
          <w:rFonts w:ascii="Arial" w:hAnsi="Arial" w:cs="Arial"/>
          <w:sz w:val="22"/>
          <w:szCs w:val="22"/>
        </w:rPr>
        <w:t xml:space="preserve"> modo de resumen y simplificando las nominaciones, el cuadre del asiento de partida triple, puede realizarse de dos formas:</w:t>
      </w:r>
      <w:r w:rsidRPr="00384CBC">
        <w:rPr>
          <w:rFonts w:ascii="Arial" w:hAnsi="Arial" w:cs="Arial"/>
          <w:sz w:val="22"/>
          <w:szCs w:val="22"/>
        </w:rPr>
        <w:cr/>
      </w:r>
    </w:p>
    <w:p w14:paraId="765461B5" w14:textId="77777777" w:rsidR="0042313F" w:rsidRPr="00384CBC" w:rsidRDefault="0042313F" w:rsidP="0042313F">
      <w:pPr>
        <w:pStyle w:val="ListParagraph"/>
        <w:numPr>
          <w:ilvl w:val="0"/>
          <w:numId w:val="1"/>
        </w:numPr>
        <w:jc w:val="left"/>
        <w:rPr>
          <w:rFonts w:ascii="Arial" w:hAnsi="Arial" w:cs="Arial"/>
          <w:sz w:val="22"/>
          <w:szCs w:val="22"/>
        </w:rPr>
      </w:pPr>
      <w:r w:rsidRPr="00384CBC">
        <w:rPr>
          <w:rFonts w:ascii="Arial" w:hAnsi="Arial" w:cs="Arial"/>
          <w:sz w:val="22"/>
          <w:szCs w:val="22"/>
        </w:rPr>
        <w:t>La primera, de forma independiente, por un lado cuadrando las cuentas de patrimonio que forman la contabilidad de partida doble (cuadre clásico), y por otro lado, tomando el asiento triangular, incluyendo las cuentas de flujo:</w:t>
      </w:r>
    </w:p>
    <w:p w14:paraId="1E3549A1" w14:textId="77777777" w:rsidR="0042313F" w:rsidRPr="00384CBC" w:rsidRDefault="0042313F" w:rsidP="0042313F">
      <w:pPr>
        <w:jc w:val="left"/>
        <w:rPr>
          <w:rFonts w:ascii="Arial" w:hAnsi="Arial" w:cs="Arial"/>
          <w:sz w:val="22"/>
          <w:szCs w:val="22"/>
        </w:rPr>
      </w:pPr>
    </w:p>
    <w:p w14:paraId="7D56561D" w14:textId="77777777" w:rsidR="0042313F" w:rsidRPr="00384CBC" w:rsidRDefault="0042313F" w:rsidP="0042313F">
      <w:pPr>
        <w:ind w:left="1701"/>
        <w:jc w:val="left"/>
        <w:rPr>
          <w:rFonts w:ascii="Arial" w:hAnsi="Arial" w:cs="Arial"/>
          <w:sz w:val="22"/>
          <w:szCs w:val="22"/>
        </w:rPr>
      </w:pPr>
      <w:r w:rsidRPr="00384CBC">
        <w:rPr>
          <w:rFonts w:ascii="Arial" w:hAnsi="Arial" w:cs="Arial"/>
          <w:sz w:val="22"/>
          <w:szCs w:val="22"/>
        </w:rPr>
        <w:t>Contabilidad partida doble: ? Debe =? Haber,</w:t>
      </w:r>
    </w:p>
    <w:p w14:paraId="74329250" w14:textId="77777777" w:rsidR="0042313F" w:rsidRPr="00384CBC" w:rsidRDefault="0042313F" w:rsidP="0042313F">
      <w:pPr>
        <w:ind w:left="1701"/>
        <w:jc w:val="left"/>
        <w:rPr>
          <w:rFonts w:ascii="Arial" w:hAnsi="Arial" w:cs="Arial"/>
          <w:sz w:val="22"/>
          <w:szCs w:val="22"/>
        </w:rPr>
      </w:pPr>
      <w:r w:rsidRPr="00384CBC">
        <w:rPr>
          <w:rFonts w:ascii="Arial" w:hAnsi="Arial" w:cs="Arial"/>
          <w:sz w:val="22"/>
          <w:szCs w:val="22"/>
        </w:rPr>
        <w:t>Contabilidad triangular? Ctas Rtdos +? Ctas Flujo =? Ctas tesorería</w:t>
      </w:r>
    </w:p>
    <w:p w14:paraId="532409F6" w14:textId="77777777" w:rsidR="0042313F" w:rsidRPr="00384CBC" w:rsidRDefault="0042313F" w:rsidP="0042313F">
      <w:pPr>
        <w:jc w:val="left"/>
        <w:rPr>
          <w:rFonts w:ascii="Arial" w:hAnsi="Arial" w:cs="Arial"/>
          <w:sz w:val="22"/>
          <w:szCs w:val="22"/>
        </w:rPr>
      </w:pPr>
    </w:p>
    <w:p w14:paraId="289F08CC" w14:textId="77777777" w:rsidR="0042313F" w:rsidRPr="00384CBC" w:rsidRDefault="0042313F" w:rsidP="0042313F">
      <w:pPr>
        <w:pStyle w:val="ListParagraph"/>
        <w:numPr>
          <w:ilvl w:val="0"/>
          <w:numId w:val="1"/>
        </w:numPr>
        <w:jc w:val="left"/>
        <w:rPr>
          <w:rFonts w:ascii="Arial" w:hAnsi="Arial" w:cs="Arial"/>
          <w:sz w:val="22"/>
          <w:szCs w:val="22"/>
        </w:rPr>
      </w:pPr>
      <w:r w:rsidRPr="00384CBC">
        <w:rPr>
          <w:rFonts w:ascii="Arial" w:hAnsi="Arial" w:cs="Arial"/>
          <w:sz w:val="22"/>
          <w:szCs w:val="22"/>
        </w:rPr>
        <w:t>La segunda, de manera global, en donde:</w:t>
      </w:r>
    </w:p>
    <w:p w14:paraId="78213932" w14:textId="77777777" w:rsidR="0042313F" w:rsidRPr="00384CBC" w:rsidRDefault="0042313F" w:rsidP="0042313F">
      <w:pPr>
        <w:jc w:val="left"/>
        <w:rPr>
          <w:rFonts w:ascii="Arial" w:hAnsi="Arial" w:cs="Arial"/>
          <w:sz w:val="22"/>
          <w:szCs w:val="22"/>
        </w:rPr>
      </w:pPr>
    </w:p>
    <w:p w14:paraId="2D9C311F" w14:textId="77777777" w:rsidR="0042313F" w:rsidRPr="00384CBC" w:rsidRDefault="0042313F" w:rsidP="0042313F">
      <w:pPr>
        <w:ind w:left="1701"/>
        <w:jc w:val="left"/>
        <w:rPr>
          <w:rFonts w:ascii="Arial" w:hAnsi="Arial" w:cs="Arial"/>
          <w:sz w:val="22"/>
          <w:szCs w:val="22"/>
        </w:rPr>
      </w:pPr>
      <w:r w:rsidRPr="00384CBC">
        <w:rPr>
          <w:rFonts w:ascii="Arial" w:hAnsi="Arial" w:cs="Arial"/>
          <w:sz w:val="22"/>
          <w:szCs w:val="22"/>
        </w:rPr>
        <w:t>? Debe + ? Ctas Rtdos + ? Ctas Flujo = ? Ctas tesorería + ? Haber</w:t>
      </w:r>
    </w:p>
    <w:p w14:paraId="5C1532C6" w14:textId="77777777" w:rsidR="0042313F" w:rsidRPr="00384CBC" w:rsidRDefault="0042313F" w:rsidP="0042313F">
      <w:pPr>
        <w:jc w:val="left"/>
        <w:rPr>
          <w:rFonts w:ascii="Arial" w:hAnsi="Arial" w:cs="Arial"/>
          <w:sz w:val="22"/>
          <w:szCs w:val="22"/>
        </w:rPr>
      </w:pPr>
    </w:p>
    <w:p w14:paraId="3449BED5" w14:textId="77777777" w:rsidR="0042313F" w:rsidRPr="00384CBC" w:rsidRDefault="0042313F" w:rsidP="0042313F">
      <w:pPr>
        <w:ind w:left="709"/>
        <w:jc w:val="left"/>
        <w:rPr>
          <w:rFonts w:ascii="Arial" w:hAnsi="Arial" w:cs="Arial"/>
          <w:sz w:val="22"/>
          <w:szCs w:val="22"/>
        </w:rPr>
      </w:pPr>
      <w:r w:rsidRPr="00384CBC">
        <w:rPr>
          <w:rFonts w:ascii="Arial" w:hAnsi="Arial" w:cs="Arial"/>
          <w:sz w:val="22"/>
          <w:szCs w:val="22"/>
        </w:rPr>
        <w:t>En donde,</w:t>
      </w:r>
    </w:p>
    <w:p w14:paraId="0C2AB03F" w14:textId="77777777" w:rsidR="0042313F" w:rsidRPr="00384CBC" w:rsidRDefault="0042313F" w:rsidP="0042313F">
      <w:pPr>
        <w:ind w:left="709"/>
        <w:jc w:val="left"/>
        <w:rPr>
          <w:rFonts w:ascii="Arial" w:hAnsi="Arial" w:cs="Arial"/>
          <w:sz w:val="22"/>
          <w:szCs w:val="22"/>
        </w:rPr>
      </w:pPr>
      <w:r w:rsidRPr="00384CBC">
        <w:rPr>
          <w:rFonts w:ascii="Arial" w:hAnsi="Arial" w:cs="Arial"/>
          <w:sz w:val="22"/>
          <w:szCs w:val="22"/>
        </w:rPr>
        <w:t>Ctas Rtdos = Saldo neto del movimiento en las cuentas del grupo 6 y 7</w:t>
      </w:r>
    </w:p>
    <w:p w14:paraId="5CB82392" w14:textId="77777777" w:rsidR="0042313F" w:rsidRPr="00384CBC" w:rsidRDefault="0042313F" w:rsidP="0042313F">
      <w:pPr>
        <w:ind w:left="709"/>
        <w:jc w:val="left"/>
        <w:rPr>
          <w:rFonts w:ascii="Arial" w:hAnsi="Arial" w:cs="Arial"/>
          <w:sz w:val="22"/>
          <w:szCs w:val="22"/>
        </w:rPr>
      </w:pPr>
      <w:r w:rsidRPr="00384CBC">
        <w:rPr>
          <w:rFonts w:ascii="Arial" w:hAnsi="Arial" w:cs="Arial"/>
          <w:sz w:val="22"/>
          <w:szCs w:val="22"/>
        </w:rPr>
        <w:t>Ctas Flujo = Saldo neto del movimiento en las cuentas de flujo</w:t>
      </w:r>
    </w:p>
    <w:p w14:paraId="1F398B35" w14:textId="77777777" w:rsidR="0042313F" w:rsidRPr="00384CBC" w:rsidRDefault="0042313F" w:rsidP="0042313F">
      <w:pPr>
        <w:ind w:left="709"/>
        <w:jc w:val="left"/>
        <w:rPr>
          <w:rFonts w:ascii="Arial" w:hAnsi="Arial" w:cs="Arial"/>
          <w:sz w:val="22"/>
          <w:szCs w:val="22"/>
        </w:rPr>
      </w:pPr>
      <w:r w:rsidRPr="00384CBC">
        <w:rPr>
          <w:rFonts w:ascii="Arial" w:hAnsi="Arial" w:cs="Arial"/>
          <w:sz w:val="22"/>
          <w:szCs w:val="22"/>
        </w:rPr>
        <w:t>Ctas tesorería = Saldo neto del movimiento en las cuentas del grupo 57</w:t>
      </w:r>
    </w:p>
    <w:p w14:paraId="7D9E2AB2" w14:textId="77777777" w:rsidR="0042313F" w:rsidRPr="00384CBC" w:rsidRDefault="0042313F" w:rsidP="0042313F">
      <w:pPr>
        <w:jc w:val="left"/>
        <w:rPr>
          <w:rFonts w:ascii="Arial" w:hAnsi="Arial" w:cs="Arial"/>
          <w:sz w:val="22"/>
          <w:szCs w:val="22"/>
        </w:rPr>
      </w:pPr>
    </w:p>
    <w:p w14:paraId="37D8E294" w14:textId="77777777" w:rsidR="0042313F" w:rsidRPr="0042313F" w:rsidRDefault="0042313F" w:rsidP="0042313F">
      <w:pPr>
        <w:jc w:val="left"/>
        <w:rPr>
          <w:rFonts w:ascii="Arial" w:hAnsi="Arial" w:cs="Arial"/>
          <w:b/>
          <w:sz w:val="22"/>
          <w:szCs w:val="22"/>
        </w:rPr>
      </w:pPr>
      <w:r>
        <w:rPr>
          <w:rFonts w:ascii="Arial" w:hAnsi="Arial" w:cs="Arial"/>
          <w:b/>
          <w:sz w:val="22"/>
          <w:szCs w:val="22"/>
        </w:rPr>
        <w:lastRenderedPageBreak/>
        <w:t xml:space="preserve">Título 2: </w:t>
      </w:r>
      <w:r w:rsidRPr="0042313F">
        <w:rPr>
          <w:rFonts w:ascii="Arial" w:hAnsi="Arial" w:cs="Arial"/>
          <w:b/>
          <w:sz w:val="22"/>
          <w:szCs w:val="22"/>
        </w:rPr>
        <w:t>Estructura de las cuentas de flujo</w:t>
      </w:r>
    </w:p>
    <w:p w14:paraId="1679219C" w14:textId="77777777" w:rsidR="0042313F" w:rsidRDefault="0042313F" w:rsidP="0042313F">
      <w:pPr>
        <w:spacing w:before="100" w:beforeAutospacing="1" w:after="100" w:afterAutospacing="1"/>
        <w:jc w:val="left"/>
        <w:rPr>
          <w:rFonts w:ascii="Arial" w:hAnsi="Arial" w:cs="Arial"/>
          <w:color w:val="222222"/>
          <w:sz w:val="22"/>
          <w:szCs w:val="22"/>
          <w:lang w:val="es-ES_tradnl"/>
        </w:rPr>
      </w:pPr>
      <w:r w:rsidRPr="0042313F">
        <w:rPr>
          <w:rFonts w:ascii="Arial" w:hAnsi="Arial" w:cs="Arial"/>
          <w:sz w:val="22"/>
          <w:szCs w:val="22"/>
        </w:rPr>
        <w:t xml:space="preserve">La estructura de las cuentas de flujo, al igual que las de patrimonio, se divide en dos partes esenciales, que podrían denominarse DEBE y HABER, pero para una mejor comprensión del movimiento de flujo, se denominaran POSITIVO (+), haciendo referencia a los incrementos o variaciones positivas del movimiento de flujos, y NEGATIVO (-), en relación a los decrementos o variaciones negativas de los movimientos de flujo. Gráficamente las cuentas de flujo se representan con la clásica T, correspondiendo la parte derecha a POSITIVO y la parte izquierda al NEGATIVO. Gran parte de los sistemas de información contable muestran los saldos deudores en positivo y los saldos acreedores en negativo, por lo que no resulta ajeno a muchos lectores o profesionales de la contabilidad hablar de saldo positivo o saldo negativo </w:t>
      </w:r>
      <w:sdt>
        <w:sdtPr>
          <w:id w:val="-1377693621"/>
          <w:citation/>
        </w:sdtPr>
        <w:sdtEndPr/>
        <w:sdtContent>
          <w:r w:rsidRPr="0042313F">
            <w:rPr>
              <w:rFonts w:ascii="Arial" w:hAnsi="Arial" w:cs="Arial"/>
              <w:sz w:val="22"/>
              <w:szCs w:val="22"/>
            </w:rPr>
            <w:fldChar w:fldCharType="begin"/>
          </w:r>
          <w:r w:rsidRPr="0042313F">
            <w:rPr>
              <w:rFonts w:ascii="Arial" w:hAnsi="Arial" w:cs="Arial"/>
              <w:sz w:val="22"/>
              <w:szCs w:val="22"/>
            </w:rPr>
            <w:instrText xml:space="preserve">CITATION Arj12 \l 9226 </w:instrText>
          </w:r>
          <w:r w:rsidRPr="0042313F">
            <w:rPr>
              <w:rFonts w:ascii="Arial" w:hAnsi="Arial" w:cs="Arial"/>
              <w:sz w:val="22"/>
              <w:szCs w:val="22"/>
            </w:rPr>
            <w:fldChar w:fldCharType="separate"/>
          </w:r>
          <w:r w:rsidRPr="0042313F">
            <w:rPr>
              <w:rFonts w:ascii="Arial" w:hAnsi="Arial" w:cs="Arial"/>
              <w:noProof/>
              <w:sz w:val="22"/>
              <w:szCs w:val="22"/>
            </w:rPr>
            <w:t>(Arjona, 2012)</w:t>
          </w:r>
          <w:r w:rsidRPr="0042313F">
            <w:rPr>
              <w:rFonts w:ascii="Arial" w:hAnsi="Arial" w:cs="Arial"/>
              <w:sz w:val="22"/>
              <w:szCs w:val="22"/>
            </w:rPr>
            <w:fldChar w:fldCharType="end"/>
          </w:r>
        </w:sdtContent>
      </w:sdt>
      <w:r w:rsidRPr="0042313F">
        <w:rPr>
          <w:rFonts w:ascii="Arial" w:hAnsi="Arial" w:cs="Arial"/>
          <w:sz w:val="22"/>
          <w:szCs w:val="22"/>
        </w:rPr>
        <w:t>.</w:t>
      </w:r>
      <w:r w:rsidRPr="0042313F">
        <w:rPr>
          <w:rFonts w:ascii="Arial" w:hAnsi="Arial" w:cs="Arial"/>
          <w:sz w:val="22"/>
          <w:szCs w:val="22"/>
        </w:rPr>
        <w:cr/>
      </w:r>
      <w:r w:rsidRPr="0042313F">
        <w:rPr>
          <w:rFonts w:ascii="Arial" w:hAnsi="Arial" w:cs="Arial"/>
          <w:color w:val="222222"/>
          <w:sz w:val="22"/>
          <w:szCs w:val="22"/>
          <w:lang w:val="es-ES_tradnl"/>
        </w:rPr>
        <w:t xml:space="preserve"> </w:t>
      </w:r>
    </w:p>
    <w:p w14:paraId="400B08FB" w14:textId="77777777" w:rsidR="0042313F" w:rsidRPr="0042313F" w:rsidRDefault="0042313F" w:rsidP="0042313F">
      <w:pPr>
        <w:spacing w:before="100" w:beforeAutospacing="1" w:after="100" w:afterAutospacing="1"/>
        <w:jc w:val="left"/>
        <w:rPr>
          <w:rFonts w:ascii="Arial" w:hAnsi="Arial" w:cs="Arial"/>
          <w:b/>
          <w:color w:val="222222"/>
          <w:sz w:val="22"/>
          <w:szCs w:val="22"/>
          <w:lang w:val="es-ES_tradnl"/>
        </w:rPr>
      </w:pPr>
      <w:r w:rsidRPr="0042313F">
        <w:rPr>
          <w:rFonts w:ascii="Arial" w:hAnsi="Arial" w:cs="Arial"/>
          <w:b/>
          <w:color w:val="222222"/>
          <w:sz w:val="22"/>
          <w:szCs w:val="22"/>
          <w:lang w:val="es-ES_tradnl"/>
        </w:rPr>
        <w:t xml:space="preserve">Subtítulo: Cuentas de activo </w:t>
      </w:r>
    </w:p>
    <w:p w14:paraId="02645E94" w14:textId="77777777" w:rsidR="0042313F" w:rsidRPr="00384CBC" w:rsidRDefault="0042313F" w:rsidP="0042313F">
      <w:pPr>
        <w:pStyle w:val="ListParagraph"/>
        <w:numPr>
          <w:ilvl w:val="0"/>
          <w:numId w:val="6"/>
        </w:numPr>
        <w:spacing w:before="100" w:beforeAutospacing="1" w:after="100" w:afterAutospacing="1"/>
        <w:jc w:val="left"/>
        <w:rPr>
          <w:rFonts w:ascii="Arial" w:hAnsi="Arial" w:cs="Arial"/>
          <w:color w:val="222222"/>
          <w:sz w:val="22"/>
          <w:szCs w:val="22"/>
          <w:lang w:val="es-ES_tradnl"/>
        </w:rPr>
      </w:pPr>
      <w:r w:rsidRPr="00384CBC">
        <w:rPr>
          <w:rFonts w:ascii="Arial" w:hAnsi="Arial" w:cs="Arial"/>
          <w:color w:val="222222"/>
          <w:sz w:val="22"/>
          <w:szCs w:val="22"/>
          <w:lang w:val="es-ES_tradnl"/>
        </w:rPr>
        <w:t>Debe: incrementos, variaciones, positivas</w:t>
      </w:r>
      <w:r>
        <w:rPr>
          <w:rFonts w:ascii="Arial" w:hAnsi="Arial" w:cs="Arial"/>
          <w:color w:val="222222"/>
          <w:sz w:val="22"/>
          <w:szCs w:val="22"/>
          <w:lang w:val="es-ES_tradnl"/>
        </w:rPr>
        <w:t>.</w:t>
      </w:r>
    </w:p>
    <w:p w14:paraId="5F8CFBA0" w14:textId="77777777" w:rsidR="0042313F" w:rsidRPr="00384CBC" w:rsidRDefault="0042313F" w:rsidP="0042313F">
      <w:pPr>
        <w:pStyle w:val="ListParagraph"/>
        <w:numPr>
          <w:ilvl w:val="0"/>
          <w:numId w:val="6"/>
        </w:numPr>
        <w:spacing w:before="100" w:beforeAutospacing="1" w:after="100" w:afterAutospacing="1"/>
        <w:jc w:val="left"/>
        <w:rPr>
          <w:rFonts w:ascii="Arial" w:hAnsi="Arial" w:cs="Arial"/>
          <w:color w:val="222222"/>
          <w:sz w:val="22"/>
          <w:szCs w:val="22"/>
          <w:lang w:val="es-ES_tradnl"/>
        </w:rPr>
      </w:pPr>
      <w:r w:rsidRPr="00384CBC">
        <w:rPr>
          <w:rFonts w:ascii="Arial" w:hAnsi="Arial" w:cs="Arial"/>
          <w:color w:val="222222"/>
          <w:sz w:val="22"/>
          <w:szCs w:val="22"/>
          <w:lang w:val="es-ES_tradnl"/>
        </w:rPr>
        <w:t>Haber: decrementos, variaciones, negativas</w:t>
      </w:r>
      <w:r>
        <w:rPr>
          <w:rFonts w:ascii="Arial" w:hAnsi="Arial" w:cs="Arial"/>
          <w:color w:val="222222"/>
          <w:sz w:val="22"/>
          <w:szCs w:val="22"/>
          <w:lang w:val="es-ES_tradnl"/>
        </w:rPr>
        <w:t>.</w:t>
      </w:r>
    </w:p>
    <w:p w14:paraId="3E9E1B3E" w14:textId="77777777" w:rsidR="0042313F" w:rsidRDefault="0042313F" w:rsidP="0042313F">
      <w:pPr>
        <w:spacing w:before="100" w:beforeAutospacing="1" w:after="100" w:afterAutospacing="1"/>
        <w:jc w:val="left"/>
        <w:rPr>
          <w:rFonts w:ascii="Arial" w:hAnsi="Arial" w:cs="Arial"/>
          <w:color w:val="222222"/>
          <w:sz w:val="22"/>
          <w:szCs w:val="22"/>
          <w:lang w:val="es-ES_tradnl"/>
        </w:rPr>
      </w:pPr>
    </w:p>
    <w:p w14:paraId="5287FC81" w14:textId="77777777" w:rsidR="0042313F" w:rsidRPr="0042313F" w:rsidRDefault="0042313F" w:rsidP="0042313F">
      <w:pPr>
        <w:spacing w:before="100" w:beforeAutospacing="1" w:after="100" w:afterAutospacing="1"/>
        <w:jc w:val="left"/>
        <w:rPr>
          <w:rFonts w:ascii="Arial" w:hAnsi="Arial" w:cs="Arial"/>
          <w:b/>
          <w:color w:val="222222"/>
          <w:sz w:val="22"/>
          <w:szCs w:val="22"/>
          <w:lang w:val="es-ES_tradnl"/>
        </w:rPr>
      </w:pPr>
      <w:r w:rsidRPr="0042313F">
        <w:rPr>
          <w:rFonts w:ascii="Arial" w:hAnsi="Arial" w:cs="Arial"/>
          <w:b/>
          <w:color w:val="222222"/>
          <w:sz w:val="22"/>
          <w:szCs w:val="22"/>
          <w:lang w:val="es-ES_tradnl"/>
        </w:rPr>
        <w:t>Subtítulo: Cuentas de pasivo o patrimonio neto</w:t>
      </w:r>
    </w:p>
    <w:p w14:paraId="45EEB8AE" w14:textId="77777777" w:rsidR="0042313F" w:rsidRPr="00384CBC" w:rsidRDefault="0042313F" w:rsidP="0042313F">
      <w:pPr>
        <w:pStyle w:val="ListParagraph"/>
        <w:numPr>
          <w:ilvl w:val="0"/>
          <w:numId w:val="4"/>
        </w:numPr>
        <w:spacing w:before="100" w:beforeAutospacing="1" w:after="100" w:afterAutospacing="1"/>
        <w:jc w:val="left"/>
        <w:rPr>
          <w:rFonts w:ascii="Arial" w:hAnsi="Arial" w:cs="Arial"/>
          <w:color w:val="222222"/>
          <w:sz w:val="22"/>
          <w:szCs w:val="22"/>
          <w:lang w:val="es-ES_tradnl"/>
        </w:rPr>
      </w:pPr>
      <w:r w:rsidRPr="00384CBC">
        <w:rPr>
          <w:rFonts w:ascii="Arial" w:hAnsi="Arial" w:cs="Arial"/>
          <w:color w:val="222222"/>
          <w:sz w:val="22"/>
          <w:szCs w:val="22"/>
          <w:lang w:val="es-ES_tradnl"/>
        </w:rPr>
        <w:t>Debe: incrementos, variaciones, positivas</w:t>
      </w:r>
      <w:r>
        <w:rPr>
          <w:rFonts w:ascii="Arial" w:hAnsi="Arial" w:cs="Arial"/>
          <w:color w:val="222222"/>
          <w:sz w:val="22"/>
          <w:szCs w:val="22"/>
          <w:lang w:val="es-ES_tradnl"/>
        </w:rPr>
        <w:t>.</w:t>
      </w:r>
    </w:p>
    <w:p w14:paraId="722FC08D" w14:textId="77777777" w:rsidR="0042313F" w:rsidRPr="00384CBC" w:rsidRDefault="0042313F" w:rsidP="0042313F">
      <w:pPr>
        <w:pStyle w:val="ListParagraph"/>
        <w:numPr>
          <w:ilvl w:val="0"/>
          <w:numId w:val="4"/>
        </w:numPr>
        <w:spacing w:before="100" w:beforeAutospacing="1" w:after="100" w:afterAutospacing="1"/>
        <w:jc w:val="left"/>
        <w:rPr>
          <w:rFonts w:ascii="Arial" w:hAnsi="Arial" w:cs="Arial"/>
          <w:color w:val="222222"/>
          <w:sz w:val="22"/>
          <w:szCs w:val="22"/>
          <w:lang w:val="es-ES_tradnl"/>
        </w:rPr>
      </w:pPr>
      <w:r w:rsidRPr="00384CBC">
        <w:rPr>
          <w:rFonts w:ascii="Arial" w:hAnsi="Arial" w:cs="Arial"/>
          <w:color w:val="222222"/>
          <w:sz w:val="22"/>
          <w:szCs w:val="22"/>
          <w:lang w:val="es-ES_tradnl"/>
        </w:rPr>
        <w:t>Haber: decrementos, variaciones, negativas</w:t>
      </w:r>
      <w:r>
        <w:rPr>
          <w:rFonts w:ascii="Arial" w:hAnsi="Arial" w:cs="Arial"/>
          <w:color w:val="222222"/>
          <w:sz w:val="22"/>
          <w:szCs w:val="22"/>
          <w:lang w:val="es-ES_tradnl"/>
        </w:rPr>
        <w:t>.</w:t>
      </w:r>
    </w:p>
    <w:p w14:paraId="2CFADD28" w14:textId="77777777" w:rsidR="0042313F" w:rsidRPr="00384CBC" w:rsidRDefault="0042313F" w:rsidP="0042313F">
      <w:pPr>
        <w:pStyle w:val="ListParagraph"/>
        <w:spacing w:before="100" w:beforeAutospacing="1" w:after="100" w:afterAutospacing="1"/>
        <w:ind w:left="1440"/>
        <w:jc w:val="left"/>
        <w:rPr>
          <w:rFonts w:ascii="Arial" w:hAnsi="Arial" w:cs="Arial"/>
          <w:color w:val="222222"/>
          <w:sz w:val="22"/>
          <w:szCs w:val="22"/>
          <w:lang w:val="es-ES_tradnl"/>
        </w:rPr>
      </w:pPr>
    </w:p>
    <w:p w14:paraId="2F030BCB" w14:textId="77777777" w:rsidR="0042313F" w:rsidRPr="0042313F" w:rsidRDefault="0042313F" w:rsidP="0042313F">
      <w:pPr>
        <w:spacing w:before="100" w:beforeAutospacing="1" w:after="100" w:afterAutospacing="1"/>
        <w:jc w:val="left"/>
        <w:rPr>
          <w:rFonts w:ascii="Arial" w:hAnsi="Arial" w:cs="Arial"/>
          <w:b/>
          <w:color w:val="222222"/>
          <w:sz w:val="22"/>
          <w:szCs w:val="22"/>
          <w:lang w:val="es-ES_tradnl"/>
        </w:rPr>
      </w:pPr>
      <w:r w:rsidRPr="0042313F">
        <w:rPr>
          <w:rFonts w:ascii="Arial" w:hAnsi="Arial" w:cs="Arial"/>
          <w:b/>
          <w:color w:val="222222"/>
          <w:sz w:val="22"/>
          <w:szCs w:val="22"/>
          <w:lang w:val="es-ES_tradnl"/>
        </w:rPr>
        <w:t>Subtítulo: Cuentas de flujo</w:t>
      </w:r>
    </w:p>
    <w:p w14:paraId="22E8306E" w14:textId="77777777" w:rsidR="00360879" w:rsidRDefault="0042313F" w:rsidP="00360879">
      <w:pPr>
        <w:pStyle w:val="ListParagraph"/>
        <w:numPr>
          <w:ilvl w:val="0"/>
          <w:numId w:val="5"/>
        </w:numPr>
        <w:spacing w:before="100" w:beforeAutospacing="1" w:after="100" w:afterAutospacing="1"/>
        <w:jc w:val="left"/>
        <w:rPr>
          <w:rFonts w:ascii="Arial" w:hAnsi="Arial" w:cs="Arial"/>
          <w:color w:val="222222"/>
          <w:sz w:val="22"/>
          <w:szCs w:val="22"/>
          <w:lang w:val="es-ES_tradnl"/>
        </w:rPr>
      </w:pPr>
      <w:r w:rsidRPr="00384CBC">
        <w:rPr>
          <w:rFonts w:ascii="Arial" w:hAnsi="Arial" w:cs="Arial"/>
          <w:color w:val="222222"/>
          <w:sz w:val="22"/>
          <w:szCs w:val="22"/>
          <w:lang w:val="es-ES_tradnl"/>
        </w:rPr>
        <w:t>Debe: incrementos, variaciones, positivas</w:t>
      </w:r>
      <w:r>
        <w:rPr>
          <w:rFonts w:ascii="Arial" w:hAnsi="Arial" w:cs="Arial"/>
          <w:color w:val="222222"/>
          <w:sz w:val="22"/>
          <w:szCs w:val="22"/>
          <w:lang w:val="es-ES_tradnl"/>
        </w:rPr>
        <w:t>.</w:t>
      </w:r>
    </w:p>
    <w:p w14:paraId="4096C2F4" w14:textId="77777777" w:rsidR="0042313F" w:rsidRPr="00360879" w:rsidRDefault="00360879" w:rsidP="0042313F">
      <w:pPr>
        <w:pStyle w:val="ListParagraph"/>
        <w:numPr>
          <w:ilvl w:val="0"/>
          <w:numId w:val="5"/>
        </w:numPr>
        <w:spacing w:before="100" w:beforeAutospacing="1" w:after="100" w:afterAutospacing="1"/>
        <w:jc w:val="left"/>
        <w:rPr>
          <w:rFonts w:ascii="Arial" w:hAnsi="Arial" w:cs="Arial"/>
          <w:color w:val="222222"/>
          <w:sz w:val="22"/>
          <w:szCs w:val="22"/>
          <w:lang w:val="es-ES_tradnl"/>
        </w:rPr>
      </w:pPr>
      <w:r>
        <w:rPr>
          <w:rFonts w:ascii="Arial" w:hAnsi="Arial" w:cs="Arial"/>
          <w:color w:val="222222"/>
          <w:sz w:val="22"/>
          <w:szCs w:val="22"/>
          <w:lang w:val="es-ES_tradnl"/>
        </w:rPr>
        <w:t>Haber: d</w:t>
      </w:r>
      <w:r w:rsidR="0042313F" w:rsidRPr="00360879">
        <w:rPr>
          <w:rFonts w:ascii="Arial" w:hAnsi="Arial" w:cs="Arial"/>
          <w:color w:val="222222"/>
          <w:sz w:val="22"/>
          <w:szCs w:val="22"/>
          <w:lang w:val="es-ES_tradnl"/>
        </w:rPr>
        <w:t>ecrementos, variaciones, negativas.</w:t>
      </w:r>
      <w:r>
        <w:rPr>
          <w:rFonts w:ascii="Arial" w:hAnsi="Arial" w:cs="Arial"/>
          <w:sz w:val="22"/>
          <w:szCs w:val="22"/>
          <w:lang w:val="es-ES_tradnl"/>
        </w:rPr>
        <w:t xml:space="preserve"> </w:t>
      </w:r>
      <w:bookmarkStart w:id="0" w:name="_GoBack"/>
      <w:bookmarkEnd w:id="0"/>
    </w:p>
    <w:p w14:paraId="72C1E00E" w14:textId="77777777" w:rsidR="0042313F" w:rsidRPr="0042313F" w:rsidRDefault="00360879" w:rsidP="0042313F">
      <w:pPr>
        <w:jc w:val="left"/>
        <w:rPr>
          <w:rFonts w:ascii="Arial" w:hAnsi="Arial" w:cs="Arial"/>
          <w:sz w:val="22"/>
          <w:szCs w:val="22"/>
        </w:rPr>
      </w:pPr>
      <w:r>
        <w:rPr>
          <w:rFonts w:ascii="Arial" w:hAnsi="Arial" w:cs="Arial"/>
          <w:sz w:val="22"/>
          <w:szCs w:val="22"/>
          <w:lang w:val="es-ES_tradnl"/>
        </w:rPr>
        <w:t xml:space="preserve">           </w:t>
      </w:r>
      <w:r w:rsidR="0042313F" w:rsidRPr="0042313F">
        <w:rPr>
          <w:rFonts w:ascii="Arial" w:hAnsi="Arial" w:cs="Arial"/>
          <w:sz w:val="22"/>
          <w:szCs w:val="22"/>
          <w:lang w:val="es-ES_tradnl"/>
        </w:rPr>
        <w:t xml:space="preserve">                     </w:t>
      </w:r>
    </w:p>
    <w:p w14:paraId="12BD7BFD" w14:textId="77777777" w:rsidR="0042313F" w:rsidRPr="00384CBC" w:rsidRDefault="0042313F" w:rsidP="0042313F">
      <w:pPr>
        <w:pStyle w:val="Caption"/>
        <w:jc w:val="left"/>
        <w:rPr>
          <w:rFonts w:ascii="Arial" w:hAnsi="Arial" w:cs="Arial"/>
          <w:sz w:val="22"/>
          <w:szCs w:val="22"/>
        </w:rPr>
      </w:pPr>
    </w:p>
    <w:p w14:paraId="0A4A58FA" w14:textId="77777777" w:rsidR="0042313F" w:rsidRPr="0042313F" w:rsidRDefault="0042313F" w:rsidP="0042313F">
      <w:pPr>
        <w:jc w:val="left"/>
        <w:rPr>
          <w:rFonts w:ascii="Arial" w:hAnsi="Arial" w:cs="Arial"/>
          <w:b/>
          <w:sz w:val="22"/>
          <w:szCs w:val="22"/>
        </w:rPr>
      </w:pPr>
      <w:r w:rsidRPr="0042313F">
        <w:rPr>
          <w:rFonts w:ascii="Arial" w:hAnsi="Arial" w:cs="Arial"/>
          <w:b/>
          <w:sz w:val="22"/>
          <w:szCs w:val="22"/>
        </w:rPr>
        <w:t>Título 3: Movimiento de los flujos de efectivo</w:t>
      </w:r>
    </w:p>
    <w:p w14:paraId="61442DE9" w14:textId="77777777" w:rsidR="0042313F" w:rsidRDefault="0042313F" w:rsidP="0042313F">
      <w:pPr>
        <w:jc w:val="left"/>
        <w:rPr>
          <w:rFonts w:ascii="Arial" w:hAnsi="Arial" w:cs="Arial"/>
          <w:sz w:val="22"/>
          <w:szCs w:val="22"/>
        </w:rPr>
      </w:pPr>
    </w:p>
    <w:p w14:paraId="0FA21B3D" w14:textId="77777777" w:rsidR="0042313F" w:rsidRPr="00384CBC" w:rsidRDefault="0042313F" w:rsidP="0042313F">
      <w:pPr>
        <w:jc w:val="left"/>
        <w:rPr>
          <w:rFonts w:ascii="Arial" w:hAnsi="Arial" w:cs="Arial"/>
          <w:sz w:val="22"/>
          <w:szCs w:val="22"/>
        </w:rPr>
      </w:pPr>
      <w:r w:rsidRPr="00384CBC">
        <w:rPr>
          <w:rFonts w:ascii="Arial" w:hAnsi="Arial" w:cs="Arial"/>
          <w:sz w:val="22"/>
          <w:szCs w:val="22"/>
        </w:rPr>
        <w:t xml:space="preserve">Según </w:t>
      </w:r>
      <w:sdt>
        <w:sdtPr>
          <w:rPr>
            <w:rFonts w:ascii="Arial" w:hAnsi="Arial" w:cs="Arial"/>
            <w:sz w:val="22"/>
            <w:szCs w:val="22"/>
          </w:rPr>
          <w:id w:val="-1356648940"/>
          <w:citation/>
        </w:sdtPr>
        <w:sdtEndPr/>
        <w:sdtContent>
          <w:r w:rsidRPr="00384CBC">
            <w:rPr>
              <w:rFonts w:ascii="Arial" w:hAnsi="Arial" w:cs="Arial"/>
              <w:sz w:val="22"/>
              <w:szCs w:val="22"/>
            </w:rPr>
            <w:fldChar w:fldCharType="begin"/>
          </w:r>
          <w:r w:rsidRPr="00384CBC">
            <w:rPr>
              <w:rFonts w:ascii="Arial" w:hAnsi="Arial" w:cs="Arial"/>
              <w:sz w:val="22"/>
              <w:szCs w:val="22"/>
            </w:rPr>
            <w:instrText xml:space="preserve">CITATION Arj12 \l 9226 </w:instrText>
          </w:r>
          <w:r w:rsidRPr="00384CBC">
            <w:rPr>
              <w:rFonts w:ascii="Arial" w:hAnsi="Arial" w:cs="Arial"/>
              <w:sz w:val="22"/>
              <w:szCs w:val="22"/>
            </w:rPr>
            <w:fldChar w:fldCharType="separate"/>
          </w:r>
          <w:r w:rsidRPr="0042313F">
            <w:rPr>
              <w:rFonts w:ascii="Arial" w:hAnsi="Arial" w:cs="Arial"/>
              <w:noProof/>
              <w:sz w:val="22"/>
              <w:szCs w:val="22"/>
            </w:rPr>
            <w:t>(Arjona, 2012)</w:t>
          </w:r>
          <w:r w:rsidRPr="00384CBC">
            <w:rPr>
              <w:rFonts w:ascii="Arial" w:hAnsi="Arial" w:cs="Arial"/>
              <w:sz w:val="22"/>
              <w:szCs w:val="22"/>
            </w:rPr>
            <w:fldChar w:fldCharType="end"/>
          </w:r>
        </w:sdtContent>
      </w:sdt>
      <w:r>
        <w:rPr>
          <w:rFonts w:ascii="Arial" w:hAnsi="Arial" w:cs="Arial"/>
          <w:sz w:val="22"/>
          <w:szCs w:val="22"/>
        </w:rPr>
        <w:t>, e</w:t>
      </w:r>
      <w:r w:rsidRPr="00384CBC">
        <w:rPr>
          <w:rFonts w:ascii="Arial" w:hAnsi="Arial" w:cs="Arial"/>
          <w:sz w:val="22"/>
          <w:szCs w:val="22"/>
        </w:rPr>
        <w:t>l movimiento de flujos de efectivo se define como los movimientos de recursos financieros que se generan en la empresa y que no tiene por qué tener su reflejo en una salida y/o entrada en caja. Por ejemplo:</w:t>
      </w:r>
    </w:p>
    <w:p w14:paraId="58FBB399" w14:textId="77777777" w:rsidR="0042313F" w:rsidRPr="00384CBC" w:rsidRDefault="0042313F" w:rsidP="0042313F">
      <w:pPr>
        <w:jc w:val="left"/>
        <w:rPr>
          <w:rFonts w:ascii="Arial" w:hAnsi="Arial" w:cs="Arial"/>
          <w:sz w:val="22"/>
          <w:szCs w:val="22"/>
        </w:rPr>
      </w:pPr>
    </w:p>
    <w:p w14:paraId="4B25D683" w14:textId="77777777" w:rsidR="0042313F" w:rsidRPr="00384CBC" w:rsidRDefault="0042313F" w:rsidP="0042313F">
      <w:pPr>
        <w:pStyle w:val="ListParagraph"/>
        <w:numPr>
          <w:ilvl w:val="0"/>
          <w:numId w:val="1"/>
        </w:numPr>
        <w:jc w:val="left"/>
        <w:rPr>
          <w:rFonts w:ascii="Arial" w:hAnsi="Arial" w:cs="Arial"/>
          <w:sz w:val="22"/>
          <w:szCs w:val="22"/>
        </w:rPr>
      </w:pPr>
      <w:r w:rsidRPr="00384CBC">
        <w:rPr>
          <w:rFonts w:ascii="Arial" w:hAnsi="Arial" w:cs="Arial"/>
          <w:sz w:val="22"/>
          <w:szCs w:val="22"/>
        </w:rPr>
        <w:t>La adquisición de un inmovilizado que se financia a través de un préstamo concedido por una entidad financiera, no supone netamente una entrada ni salida de efectivo (lo pagado por el inmovilizado se compensa por lo cobrado por el préstamo). Por tanto el movimiento de caja es cero, pero sí que ha habido un movimiento de flujo de financiación y un movimiento de flujo de inversión.</w:t>
      </w:r>
    </w:p>
    <w:p w14:paraId="05A348F1" w14:textId="77777777" w:rsidR="0042313F" w:rsidRPr="00384CBC" w:rsidRDefault="0042313F" w:rsidP="0042313F">
      <w:pPr>
        <w:pStyle w:val="ListParagraph"/>
        <w:numPr>
          <w:ilvl w:val="0"/>
          <w:numId w:val="1"/>
        </w:numPr>
        <w:jc w:val="left"/>
        <w:rPr>
          <w:rFonts w:ascii="Arial" w:hAnsi="Arial" w:cs="Arial"/>
          <w:sz w:val="22"/>
          <w:szCs w:val="22"/>
        </w:rPr>
      </w:pPr>
      <w:r w:rsidRPr="00384CBC">
        <w:rPr>
          <w:rFonts w:ascii="Arial" w:hAnsi="Arial" w:cs="Arial"/>
          <w:sz w:val="22"/>
          <w:szCs w:val="22"/>
        </w:rPr>
        <w:t>Otro ejemplo, la financiación que damos a nuestros clientes no supone una salida de dinero, pero sí que es un movimiento de flujo negativo, ya que destinamos recursos de la empresa a financiar a ese cliente.</w:t>
      </w:r>
    </w:p>
    <w:p w14:paraId="643207DC" w14:textId="77777777" w:rsidR="0042313F" w:rsidRPr="00384CBC" w:rsidRDefault="0042313F" w:rsidP="0042313F">
      <w:pPr>
        <w:jc w:val="left"/>
        <w:rPr>
          <w:rFonts w:ascii="Arial" w:hAnsi="Arial" w:cs="Arial"/>
          <w:sz w:val="22"/>
          <w:szCs w:val="22"/>
        </w:rPr>
      </w:pPr>
    </w:p>
    <w:p w14:paraId="6E64799B" w14:textId="77777777" w:rsidR="0042313F" w:rsidRPr="00384CBC" w:rsidRDefault="0042313F" w:rsidP="0042313F">
      <w:pPr>
        <w:jc w:val="left"/>
        <w:rPr>
          <w:rFonts w:ascii="Arial" w:hAnsi="Arial" w:cs="Arial"/>
          <w:sz w:val="22"/>
          <w:szCs w:val="22"/>
        </w:rPr>
      </w:pPr>
      <w:r w:rsidRPr="00384CBC">
        <w:rPr>
          <w:rFonts w:ascii="Arial" w:hAnsi="Arial" w:cs="Arial"/>
          <w:sz w:val="22"/>
          <w:szCs w:val="22"/>
        </w:rPr>
        <w:t>Para representar la elaboración de la partida doble se muestra mediante un esquema de la siguiente manera:</w:t>
      </w:r>
    </w:p>
    <w:p w14:paraId="1F9A24B9" w14:textId="77777777" w:rsidR="0042313F" w:rsidRPr="00384CBC" w:rsidRDefault="0042313F" w:rsidP="0042313F">
      <w:pPr>
        <w:jc w:val="left"/>
        <w:rPr>
          <w:rFonts w:ascii="Arial" w:hAnsi="Arial" w:cs="Arial"/>
          <w:sz w:val="22"/>
          <w:szCs w:val="22"/>
        </w:rPr>
      </w:pPr>
    </w:p>
    <w:p w14:paraId="777F98F5" w14:textId="77777777" w:rsidR="0042313F" w:rsidRPr="00384CBC" w:rsidRDefault="0042313F" w:rsidP="0042313F">
      <w:pPr>
        <w:jc w:val="left"/>
        <w:rPr>
          <w:rFonts w:ascii="Arial" w:hAnsi="Arial" w:cs="Arial"/>
          <w:sz w:val="22"/>
          <w:szCs w:val="22"/>
        </w:rPr>
      </w:pPr>
      <w:r w:rsidRPr="00384CBC">
        <w:rPr>
          <w:rFonts w:ascii="Arial" w:hAnsi="Arial" w:cs="Arial"/>
          <w:noProof/>
          <w:sz w:val="22"/>
          <w:szCs w:val="22"/>
          <w:lang w:val="en-US" w:eastAsia="en-US"/>
        </w:rPr>
        <w:drawing>
          <wp:anchor distT="0" distB="0" distL="114300" distR="114300" simplePos="0" relativeHeight="251659264" behindDoc="0" locked="0" layoutInCell="1" allowOverlap="1" wp14:anchorId="0FA22344" wp14:editId="5A2FA3DF">
            <wp:simplePos x="0" y="0"/>
            <wp:positionH relativeFrom="margin">
              <wp:posOffset>800100</wp:posOffset>
            </wp:positionH>
            <wp:positionV relativeFrom="paragraph">
              <wp:posOffset>123190</wp:posOffset>
            </wp:positionV>
            <wp:extent cx="3981450" cy="2142490"/>
            <wp:effectExtent l="0" t="0" r="6350" b="0"/>
            <wp:wrapSquare wrapText="bothSides"/>
            <wp:docPr id="34" name="Imagen 34" descr="C:\Users\Daniel\Downloads\3. Imágenes\23. Elaboración de estados partida do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ownloads\3. Imágenes\23. Elaboración de estados partida do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142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1BE157" w14:textId="77777777" w:rsidR="0042313F" w:rsidRPr="00384CBC" w:rsidRDefault="0042313F" w:rsidP="0042313F">
      <w:pPr>
        <w:jc w:val="left"/>
        <w:rPr>
          <w:rFonts w:ascii="Arial" w:hAnsi="Arial" w:cs="Arial"/>
          <w:color w:val="7030A0"/>
          <w:sz w:val="22"/>
          <w:szCs w:val="22"/>
        </w:rPr>
      </w:pPr>
    </w:p>
    <w:p w14:paraId="49A0CE00" w14:textId="77777777" w:rsidR="0042313F" w:rsidRPr="00384CBC" w:rsidRDefault="0042313F" w:rsidP="0042313F">
      <w:pPr>
        <w:jc w:val="left"/>
        <w:rPr>
          <w:rFonts w:ascii="Arial" w:hAnsi="Arial" w:cs="Arial"/>
          <w:color w:val="7030A0"/>
          <w:sz w:val="22"/>
          <w:szCs w:val="22"/>
        </w:rPr>
      </w:pPr>
    </w:p>
    <w:p w14:paraId="390BB888" w14:textId="77777777" w:rsidR="0042313F" w:rsidRPr="00384CBC" w:rsidRDefault="0042313F" w:rsidP="0042313F">
      <w:pPr>
        <w:jc w:val="left"/>
        <w:rPr>
          <w:rFonts w:ascii="Arial" w:hAnsi="Arial" w:cs="Arial"/>
          <w:color w:val="7030A0"/>
          <w:sz w:val="22"/>
          <w:szCs w:val="22"/>
        </w:rPr>
      </w:pPr>
    </w:p>
    <w:p w14:paraId="11B30DC7" w14:textId="77777777" w:rsidR="0042313F" w:rsidRPr="00384CBC" w:rsidRDefault="0042313F" w:rsidP="0042313F">
      <w:pPr>
        <w:jc w:val="left"/>
        <w:rPr>
          <w:rFonts w:ascii="Arial" w:hAnsi="Arial" w:cs="Arial"/>
          <w:color w:val="7030A0"/>
          <w:sz w:val="22"/>
          <w:szCs w:val="22"/>
        </w:rPr>
      </w:pPr>
    </w:p>
    <w:p w14:paraId="1D245300" w14:textId="77777777" w:rsidR="0042313F" w:rsidRPr="00384CBC" w:rsidRDefault="0042313F" w:rsidP="0042313F">
      <w:pPr>
        <w:jc w:val="left"/>
        <w:rPr>
          <w:rFonts w:ascii="Arial" w:hAnsi="Arial" w:cs="Arial"/>
          <w:color w:val="7030A0"/>
          <w:sz w:val="22"/>
          <w:szCs w:val="22"/>
        </w:rPr>
      </w:pPr>
    </w:p>
    <w:p w14:paraId="1590FA53" w14:textId="77777777" w:rsidR="0042313F" w:rsidRPr="00384CBC" w:rsidRDefault="0042313F" w:rsidP="0042313F">
      <w:pPr>
        <w:jc w:val="left"/>
        <w:rPr>
          <w:rFonts w:ascii="Arial" w:hAnsi="Arial" w:cs="Arial"/>
          <w:color w:val="7030A0"/>
          <w:sz w:val="22"/>
          <w:szCs w:val="22"/>
        </w:rPr>
      </w:pPr>
    </w:p>
    <w:p w14:paraId="75DFF507" w14:textId="77777777" w:rsidR="0042313F" w:rsidRPr="00384CBC" w:rsidRDefault="0042313F" w:rsidP="0042313F">
      <w:pPr>
        <w:jc w:val="left"/>
        <w:rPr>
          <w:rFonts w:ascii="Arial" w:hAnsi="Arial" w:cs="Arial"/>
          <w:color w:val="7030A0"/>
          <w:sz w:val="22"/>
          <w:szCs w:val="22"/>
        </w:rPr>
      </w:pPr>
    </w:p>
    <w:p w14:paraId="2BC7F432" w14:textId="77777777" w:rsidR="0042313F" w:rsidRPr="00384CBC" w:rsidRDefault="0042313F" w:rsidP="0042313F">
      <w:pPr>
        <w:jc w:val="left"/>
        <w:rPr>
          <w:rFonts w:ascii="Arial" w:hAnsi="Arial" w:cs="Arial"/>
          <w:color w:val="7030A0"/>
          <w:sz w:val="22"/>
          <w:szCs w:val="22"/>
        </w:rPr>
      </w:pPr>
    </w:p>
    <w:p w14:paraId="30EFF64F" w14:textId="77777777" w:rsidR="0042313F" w:rsidRPr="00384CBC" w:rsidRDefault="0042313F" w:rsidP="0042313F">
      <w:pPr>
        <w:jc w:val="left"/>
        <w:rPr>
          <w:rFonts w:ascii="Arial" w:hAnsi="Arial" w:cs="Arial"/>
          <w:sz w:val="22"/>
          <w:szCs w:val="22"/>
        </w:rPr>
      </w:pPr>
    </w:p>
    <w:p w14:paraId="00C90DDE" w14:textId="77777777" w:rsidR="0042313F" w:rsidRPr="00384CBC" w:rsidRDefault="0042313F" w:rsidP="0042313F">
      <w:pPr>
        <w:jc w:val="left"/>
        <w:rPr>
          <w:rFonts w:ascii="Arial" w:hAnsi="Arial" w:cs="Arial"/>
          <w:sz w:val="22"/>
          <w:szCs w:val="22"/>
        </w:rPr>
      </w:pPr>
    </w:p>
    <w:p w14:paraId="3C25B6F8" w14:textId="77777777" w:rsidR="0042313F" w:rsidRPr="00384CBC" w:rsidRDefault="0042313F" w:rsidP="0042313F">
      <w:pPr>
        <w:jc w:val="left"/>
        <w:rPr>
          <w:rFonts w:ascii="Arial" w:hAnsi="Arial" w:cs="Arial"/>
          <w:sz w:val="22"/>
          <w:szCs w:val="22"/>
        </w:rPr>
      </w:pPr>
    </w:p>
    <w:p w14:paraId="0DE92037" w14:textId="77777777" w:rsidR="0042313F" w:rsidRDefault="0042313F" w:rsidP="0042313F">
      <w:pPr>
        <w:jc w:val="left"/>
        <w:rPr>
          <w:rFonts w:ascii="Arial" w:hAnsi="Arial" w:cs="Arial"/>
          <w:sz w:val="22"/>
          <w:szCs w:val="22"/>
        </w:rPr>
      </w:pPr>
    </w:p>
    <w:p w14:paraId="43858DEF" w14:textId="77777777" w:rsidR="0042313F" w:rsidRDefault="0042313F" w:rsidP="0042313F">
      <w:pPr>
        <w:jc w:val="left"/>
        <w:rPr>
          <w:rFonts w:ascii="Arial" w:hAnsi="Arial" w:cs="Arial"/>
          <w:sz w:val="22"/>
          <w:szCs w:val="22"/>
        </w:rPr>
      </w:pPr>
    </w:p>
    <w:p w14:paraId="75A2ED40" w14:textId="77777777" w:rsidR="0042313F" w:rsidRDefault="0042313F" w:rsidP="0042313F">
      <w:pPr>
        <w:jc w:val="left"/>
        <w:rPr>
          <w:rFonts w:ascii="Arial" w:hAnsi="Arial" w:cs="Arial"/>
          <w:sz w:val="22"/>
          <w:szCs w:val="22"/>
        </w:rPr>
      </w:pPr>
    </w:p>
    <w:p w14:paraId="0674B1E1" w14:textId="77777777" w:rsidR="0042313F" w:rsidRDefault="0042313F" w:rsidP="0042313F">
      <w:pPr>
        <w:jc w:val="left"/>
        <w:rPr>
          <w:rFonts w:ascii="Arial" w:hAnsi="Arial" w:cs="Arial"/>
          <w:sz w:val="22"/>
          <w:szCs w:val="22"/>
        </w:rPr>
      </w:pPr>
      <w:r w:rsidRPr="00384CBC">
        <w:rPr>
          <w:rFonts w:ascii="Arial" w:hAnsi="Arial" w:cs="Arial"/>
          <w:noProof/>
          <w:color w:val="7030A0"/>
          <w:sz w:val="22"/>
          <w:szCs w:val="22"/>
          <w:lang w:val="en-US" w:eastAsia="en-US"/>
        </w:rPr>
        <mc:AlternateContent>
          <mc:Choice Requires="wps">
            <w:drawing>
              <wp:anchor distT="0" distB="0" distL="114300" distR="114300" simplePos="0" relativeHeight="251660288" behindDoc="0" locked="0" layoutInCell="1" allowOverlap="1" wp14:anchorId="70AE7661" wp14:editId="7000554E">
                <wp:simplePos x="0" y="0"/>
                <wp:positionH relativeFrom="column">
                  <wp:posOffset>-114300</wp:posOffset>
                </wp:positionH>
                <wp:positionV relativeFrom="paragraph">
                  <wp:posOffset>0</wp:posOffset>
                </wp:positionV>
                <wp:extent cx="5381625" cy="1552575"/>
                <wp:effectExtent l="50800" t="25400" r="79375" b="327025"/>
                <wp:wrapNone/>
                <wp:docPr id="5" name="Llamada de nube 5"/>
                <wp:cNvGraphicFramePr/>
                <a:graphic xmlns:a="http://schemas.openxmlformats.org/drawingml/2006/main">
                  <a:graphicData uri="http://schemas.microsoft.com/office/word/2010/wordprocessingShape">
                    <wps:wsp>
                      <wps:cNvSpPr/>
                      <wps:spPr>
                        <a:xfrm>
                          <a:off x="0" y="0"/>
                          <a:ext cx="5381625" cy="1552575"/>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57D58B18" w14:textId="77777777" w:rsidR="0042313F" w:rsidRPr="00E32EB4" w:rsidRDefault="0042313F" w:rsidP="0042313F">
                            <w:pPr>
                              <w:rPr>
                                <w:color w:val="000000" w:themeColor="text1"/>
                              </w:rPr>
                            </w:pPr>
                            <w:r w:rsidRPr="00E32EB4">
                              <w:rPr>
                                <w:color w:val="000000" w:themeColor="text1"/>
                              </w:rPr>
                              <w:t>Para la partida triple “con el registro de las cuentas de flujo</w:t>
                            </w:r>
                            <w:r>
                              <w:rPr>
                                <w:color w:val="000000" w:themeColor="text1"/>
                              </w:rPr>
                              <w:t xml:space="preserve"> y la agregación de sus saldos,</w:t>
                            </w:r>
                            <w:r w:rsidRPr="00E32EB4">
                              <w:rPr>
                                <w:color w:val="000000" w:themeColor="text1"/>
                              </w:rPr>
                              <w:t xml:space="preserve"> permite la elaboración,  además del </w:t>
                            </w:r>
                            <w:r>
                              <w:rPr>
                                <w:color w:val="000000" w:themeColor="text1"/>
                              </w:rPr>
                              <w:t>b</w:t>
                            </w:r>
                            <w:r w:rsidRPr="00E32EB4">
                              <w:rPr>
                                <w:color w:val="000000" w:themeColor="text1"/>
                              </w:rPr>
                              <w:t xml:space="preserve">alance y de la </w:t>
                            </w:r>
                            <w:r>
                              <w:rPr>
                                <w:color w:val="000000" w:themeColor="text1"/>
                              </w:rPr>
                              <w:t>c</w:t>
                            </w:r>
                            <w:r w:rsidRPr="00E32EB4">
                              <w:rPr>
                                <w:color w:val="000000" w:themeColor="text1"/>
                              </w:rPr>
                              <w:t xml:space="preserve">uenta de </w:t>
                            </w:r>
                            <w:r>
                              <w:rPr>
                                <w:color w:val="000000" w:themeColor="text1"/>
                              </w:rPr>
                              <w:t>resultados, el estado de f</w:t>
                            </w:r>
                            <w:r w:rsidRPr="00E32EB4">
                              <w:rPr>
                                <w:color w:val="000000" w:themeColor="text1"/>
                              </w:rPr>
                              <w:t>lujos de efectivo”</w:t>
                            </w:r>
                            <w:r>
                              <w:rPr>
                                <w:color w:val="000000" w:themeColor="text1"/>
                              </w:rPr>
                              <w:t>.</w:t>
                            </w:r>
                            <w:r w:rsidRPr="00E32EB4">
                              <w:rPr>
                                <w:color w:val="000000" w:themeColor="text1"/>
                              </w:rPr>
                              <w:t xml:space="preserve"> </w:t>
                            </w:r>
                            <w:sdt>
                              <w:sdtPr>
                                <w:rPr>
                                  <w:color w:val="000000" w:themeColor="text1"/>
                                </w:rPr>
                                <w:id w:val="-1969731377"/>
                                <w:citation/>
                              </w:sdtPr>
                              <w:sdtEndPr/>
                              <w:sdtContent>
                                <w:r w:rsidRPr="00E32EB4">
                                  <w:rPr>
                                    <w:color w:val="000000" w:themeColor="text1"/>
                                  </w:rPr>
                                  <w:fldChar w:fldCharType="begin"/>
                                </w:r>
                                <w:r w:rsidRPr="00E32EB4">
                                  <w:rPr>
                                    <w:color w:val="000000" w:themeColor="text1"/>
                                    <w:lang w:val="es-ES"/>
                                  </w:rPr>
                                  <w:instrText xml:space="preserve">CITATION Arj12 \l 1033 </w:instrText>
                                </w:r>
                                <w:r w:rsidRPr="00E32EB4">
                                  <w:rPr>
                                    <w:color w:val="000000" w:themeColor="text1"/>
                                  </w:rPr>
                                  <w:fldChar w:fldCharType="separate"/>
                                </w:r>
                                <w:r w:rsidRPr="00E66377">
                                  <w:rPr>
                                    <w:noProof/>
                                    <w:color w:val="000000" w:themeColor="text1"/>
                                    <w:lang w:val="es-ES"/>
                                  </w:rPr>
                                  <w:t>(Arjona, 2012)</w:t>
                                </w:r>
                                <w:r w:rsidRPr="00E32EB4">
                                  <w:rPr>
                                    <w:color w:val="000000" w:themeColor="text1"/>
                                  </w:rPr>
                                  <w:fldChar w:fldCharType="end"/>
                                </w:r>
                              </w:sdtContent>
                            </w:sdt>
                          </w:p>
                          <w:p w14:paraId="3645F801" w14:textId="77777777" w:rsidR="0042313F" w:rsidRDefault="0042313F" w:rsidP="004231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5" o:spid="_x0000_s1026" type="#_x0000_t106" style="position:absolute;margin-left:-8.95pt;margin-top:0;width:423.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" adj="6300,24300" fillcolor="#4f81bd [3204]" strokecolor="#4579b8 [3044]">
                <v:fill color2="#a7bfde [1620]" rotate="t" type="gradient">
                  <o:fill v:ext="view" type="gradientUnscaled"/>
                </v:fill>
                <v:shadow on="t" opacity="22937f" mv:blur="40000f" origin=",.5" offset="0,23000emu"/>
                <v:textbox>
                  <w:txbxContent>
                    <w:p w:rsidR="0042313F" w:rsidRPr="00E32EB4" w:rsidRDefault="0042313F" w:rsidP="0042313F">
                      <w:pPr>
                        <w:rPr>
                          <w:color w:val="000000" w:themeColor="text1"/>
                        </w:rPr>
                      </w:pPr>
                      <w:r w:rsidRPr="00E32EB4">
                        <w:rPr>
                          <w:color w:val="000000" w:themeColor="text1"/>
                        </w:rPr>
                        <w:t>Para la partida triple “con el registro de las cuentas de flujo</w:t>
                      </w:r>
                      <w:r>
                        <w:rPr>
                          <w:color w:val="000000" w:themeColor="text1"/>
                        </w:rPr>
                        <w:t xml:space="preserve"> y la agregación de sus saldos,</w:t>
                      </w:r>
                      <w:r w:rsidRPr="00E32EB4">
                        <w:rPr>
                          <w:color w:val="000000" w:themeColor="text1"/>
                        </w:rPr>
                        <w:t xml:space="preserve"> permite la elaboración,  además del </w:t>
                      </w:r>
                      <w:r>
                        <w:rPr>
                          <w:color w:val="000000" w:themeColor="text1"/>
                        </w:rPr>
                        <w:t>b</w:t>
                      </w:r>
                      <w:r w:rsidRPr="00E32EB4">
                        <w:rPr>
                          <w:color w:val="000000" w:themeColor="text1"/>
                        </w:rPr>
                        <w:t xml:space="preserve">alance y de la </w:t>
                      </w:r>
                      <w:r>
                        <w:rPr>
                          <w:color w:val="000000" w:themeColor="text1"/>
                        </w:rPr>
                        <w:t>c</w:t>
                      </w:r>
                      <w:r w:rsidRPr="00E32EB4">
                        <w:rPr>
                          <w:color w:val="000000" w:themeColor="text1"/>
                        </w:rPr>
                        <w:t xml:space="preserve">uenta de </w:t>
                      </w:r>
                      <w:r>
                        <w:rPr>
                          <w:color w:val="000000" w:themeColor="text1"/>
                        </w:rPr>
                        <w:t>resultados, el estado de f</w:t>
                      </w:r>
                      <w:r w:rsidRPr="00E32EB4">
                        <w:rPr>
                          <w:color w:val="000000" w:themeColor="text1"/>
                        </w:rPr>
                        <w:t>lujos de efectivo”</w:t>
                      </w:r>
                      <w:r>
                        <w:rPr>
                          <w:color w:val="000000" w:themeColor="text1"/>
                        </w:rPr>
                        <w:t>.</w:t>
                      </w:r>
                      <w:r w:rsidRPr="00E32EB4">
                        <w:rPr>
                          <w:color w:val="000000" w:themeColor="text1"/>
                        </w:rPr>
                        <w:t xml:space="preserve"> </w:t>
                      </w:r>
                      <w:sdt>
                        <w:sdtPr>
                          <w:rPr>
                            <w:color w:val="000000" w:themeColor="text1"/>
                          </w:rPr>
                          <w:id w:val="-1969731377"/>
                          <w:citation/>
                        </w:sdtPr>
                        <w:sdtContent>
                          <w:r w:rsidRPr="00E32EB4">
                            <w:rPr>
                              <w:color w:val="000000" w:themeColor="text1"/>
                            </w:rPr>
                            <w:fldChar w:fldCharType="begin"/>
                          </w:r>
                          <w:r w:rsidRPr="00E32EB4">
                            <w:rPr>
                              <w:color w:val="000000" w:themeColor="text1"/>
                              <w:lang w:val="es-ES"/>
                            </w:rPr>
                            <w:instrText xml:space="preserve">CITATION Arj12 \l 1033 </w:instrText>
                          </w:r>
                          <w:r w:rsidRPr="00E32EB4">
                            <w:rPr>
                              <w:color w:val="000000" w:themeColor="text1"/>
                            </w:rPr>
                            <w:fldChar w:fldCharType="separate"/>
                          </w:r>
                          <w:r w:rsidRPr="00E66377">
                            <w:rPr>
                              <w:noProof/>
                              <w:color w:val="000000" w:themeColor="text1"/>
                              <w:lang w:val="es-ES"/>
                            </w:rPr>
                            <w:t>(Arjona, 2012)</w:t>
                          </w:r>
                          <w:r w:rsidRPr="00E32EB4">
                            <w:rPr>
                              <w:color w:val="000000" w:themeColor="text1"/>
                            </w:rPr>
                            <w:fldChar w:fldCharType="end"/>
                          </w:r>
                        </w:sdtContent>
                      </w:sdt>
                    </w:p>
                    <w:p w:rsidR="0042313F" w:rsidRDefault="0042313F" w:rsidP="0042313F">
                      <w:pPr>
                        <w:jc w:val="center"/>
                      </w:pPr>
                    </w:p>
                  </w:txbxContent>
                </v:textbox>
              </v:shape>
            </w:pict>
          </mc:Fallback>
        </mc:AlternateContent>
      </w:r>
    </w:p>
    <w:p w14:paraId="45D8C181" w14:textId="77777777" w:rsidR="0042313F" w:rsidRDefault="0042313F" w:rsidP="0042313F">
      <w:pPr>
        <w:jc w:val="left"/>
        <w:rPr>
          <w:rFonts w:ascii="Arial" w:hAnsi="Arial" w:cs="Arial"/>
          <w:sz w:val="22"/>
          <w:szCs w:val="22"/>
        </w:rPr>
      </w:pPr>
    </w:p>
    <w:p w14:paraId="2784579E" w14:textId="77777777" w:rsidR="0042313F" w:rsidRDefault="0042313F" w:rsidP="0042313F">
      <w:pPr>
        <w:jc w:val="left"/>
        <w:rPr>
          <w:rFonts w:ascii="Arial" w:hAnsi="Arial" w:cs="Arial"/>
          <w:sz w:val="22"/>
          <w:szCs w:val="22"/>
        </w:rPr>
      </w:pPr>
    </w:p>
    <w:p w14:paraId="1B221581" w14:textId="77777777" w:rsidR="0042313F" w:rsidRDefault="0042313F" w:rsidP="0042313F">
      <w:pPr>
        <w:jc w:val="left"/>
        <w:rPr>
          <w:rFonts w:ascii="Arial" w:hAnsi="Arial" w:cs="Arial"/>
          <w:sz w:val="22"/>
          <w:szCs w:val="22"/>
        </w:rPr>
      </w:pPr>
    </w:p>
    <w:p w14:paraId="059FA5D2" w14:textId="77777777" w:rsidR="0042313F" w:rsidRDefault="0042313F" w:rsidP="0042313F">
      <w:pPr>
        <w:jc w:val="left"/>
        <w:rPr>
          <w:rFonts w:ascii="Arial" w:hAnsi="Arial" w:cs="Arial"/>
          <w:sz w:val="22"/>
          <w:szCs w:val="22"/>
        </w:rPr>
      </w:pPr>
    </w:p>
    <w:p w14:paraId="58A9265B" w14:textId="77777777" w:rsidR="0042313F" w:rsidRDefault="0042313F" w:rsidP="0042313F">
      <w:pPr>
        <w:jc w:val="left"/>
        <w:rPr>
          <w:rFonts w:ascii="Arial" w:hAnsi="Arial" w:cs="Arial"/>
          <w:sz w:val="22"/>
          <w:szCs w:val="22"/>
        </w:rPr>
      </w:pPr>
    </w:p>
    <w:p w14:paraId="6C314C52" w14:textId="77777777" w:rsidR="0042313F" w:rsidRDefault="0042313F" w:rsidP="0042313F">
      <w:pPr>
        <w:jc w:val="left"/>
        <w:rPr>
          <w:rFonts w:ascii="Arial" w:hAnsi="Arial" w:cs="Arial"/>
          <w:sz w:val="22"/>
          <w:szCs w:val="22"/>
        </w:rPr>
      </w:pPr>
    </w:p>
    <w:p w14:paraId="3A49C8C5" w14:textId="77777777" w:rsidR="0042313F" w:rsidRDefault="0042313F" w:rsidP="0042313F">
      <w:pPr>
        <w:jc w:val="left"/>
        <w:rPr>
          <w:rFonts w:ascii="Arial" w:hAnsi="Arial" w:cs="Arial"/>
          <w:sz w:val="22"/>
          <w:szCs w:val="22"/>
        </w:rPr>
      </w:pPr>
    </w:p>
    <w:p w14:paraId="3BA80575" w14:textId="77777777" w:rsidR="0042313F" w:rsidRDefault="0042313F" w:rsidP="0042313F">
      <w:pPr>
        <w:jc w:val="left"/>
        <w:rPr>
          <w:rFonts w:ascii="Arial" w:hAnsi="Arial" w:cs="Arial"/>
          <w:sz w:val="22"/>
          <w:szCs w:val="22"/>
        </w:rPr>
      </w:pPr>
    </w:p>
    <w:p w14:paraId="37E635D1" w14:textId="77777777" w:rsidR="0042313F" w:rsidRDefault="0042313F" w:rsidP="0042313F">
      <w:pPr>
        <w:jc w:val="left"/>
        <w:rPr>
          <w:rFonts w:ascii="Arial" w:hAnsi="Arial" w:cs="Arial"/>
          <w:sz w:val="22"/>
          <w:szCs w:val="22"/>
        </w:rPr>
      </w:pPr>
    </w:p>
    <w:p w14:paraId="15AB6460" w14:textId="77777777" w:rsidR="0042313F" w:rsidRDefault="0042313F" w:rsidP="0042313F">
      <w:pPr>
        <w:jc w:val="left"/>
        <w:rPr>
          <w:rFonts w:ascii="Arial" w:hAnsi="Arial" w:cs="Arial"/>
          <w:sz w:val="22"/>
          <w:szCs w:val="22"/>
        </w:rPr>
      </w:pPr>
    </w:p>
    <w:p w14:paraId="6B367B5B" w14:textId="77777777" w:rsidR="0042313F" w:rsidRDefault="0042313F" w:rsidP="0042313F">
      <w:pPr>
        <w:jc w:val="left"/>
        <w:rPr>
          <w:rFonts w:ascii="Arial" w:hAnsi="Arial" w:cs="Arial"/>
          <w:sz w:val="22"/>
          <w:szCs w:val="22"/>
        </w:rPr>
      </w:pPr>
    </w:p>
    <w:p w14:paraId="24275303" w14:textId="77777777" w:rsidR="0042313F" w:rsidRPr="0042313F" w:rsidRDefault="0042313F" w:rsidP="0042313F">
      <w:pPr>
        <w:jc w:val="left"/>
        <w:rPr>
          <w:rFonts w:ascii="Arial" w:hAnsi="Arial" w:cs="Arial"/>
          <w:b/>
          <w:sz w:val="22"/>
          <w:szCs w:val="22"/>
        </w:rPr>
      </w:pPr>
      <w:r w:rsidRPr="0042313F">
        <w:rPr>
          <w:rFonts w:ascii="Arial" w:hAnsi="Arial" w:cs="Arial"/>
          <w:b/>
          <w:sz w:val="22"/>
          <w:szCs w:val="22"/>
        </w:rPr>
        <w:t>Título 4: Ventajas de la contabilidad triangular</w:t>
      </w:r>
    </w:p>
    <w:p w14:paraId="13A864CC" w14:textId="77777777" w:rsidR="0042313F" w:rsidRDefault="0042313F" w:rsidP="0042313F">
      <w:pPr>
        <w:jc w:val="left"/>
        <w:rPr>
          <w:rFonts w:ascii="Arial" w:hAnsi="Arial" w:cs="Arial"/>
          <w:sz w:val="22"/>
          <w:szCs w:val="22"/>
        </w:rPr>
      </w:pPr>
    </w:p>
    <w:p w14:paraId="3E2F9D42" w14:textId="77777777" w:rsidR="0042313F" w:rsidRPr="00384CBC" w:rsidRDefault="0042313F" w:rsidP="0042313F">
      <w:pPr>
        <w:jc w:val="left"/>
        <w:rPr>
          <w:rFonts w:ascii="Arial" w:hAnsi="Arial" w:cs="Arial"/>
          <w:sz w:val="22"/>
          <w:szCs w:val="22"/>
        </w:rPr>
      </w:pPr>
      <w:r w:rsidRPr="00384CBC">
        <w:rPr>
          <w:rFonts w:ascii="Arial" w:hAnsi="Arial" w:cs="Arial"/>
          <w:sz w:val="22"/>
          <w:szCs w:val="22"/>
        </w:rPr>
        <w:t>De acuerdo con</w:t>
      </w:r>
      <w:r>
        <w:rPr>
          <w:rFonts w:ascii="Arial" w:hAnsi="Arial" w:cs="Arial"/>
          <w:sz w:val="22"/>
          <w:szCs w:val="22"/>
        </w:rPr>
        <w:t xml:space="preserve"> Arjona (2012), son varias las ventajas de la contabilidad tringular.</w:t>
      </w:r>
    </w:p>
    <w:p w14:paraId="43B0BAD4" w14:textId="77777777" w:rsidR="0042313F" w:rsidRPr="00384CBC" w:rsidRDefault="0042313F" w:rsidP="0042313F">
      <w:pPr>
        <w:jc w:val="left"/>
        <w:rPr>
          <w:rFonts w:ascii="Arial" w:hAnsi="Arial" w:cs="Arial"/>
          <w:sz w:val="22"/>
          <w:szCs w:val="22"/>
        </w:rPr>
      </w:pPr>
    </w:p>
    <w:p w14:paraId="6DFC264A" w14:textId="77777777" w:rsidR="0042313F" w:rsidRDefault="0042313F" w:rsidP="0042313F">
      <w:pPr>
        <w:jc w:val="left"/>
        <w:rPr>
          <w:rFonts w:ascii="Arial" w:hAnsi="Arial" w:cs="Arial"/>
          <w:b/>
          <w:sz w:val="22"/>
          <w:szCs w:val="22"/>
        </w:rPr>
      </w:pPr>
    </w:p>
    <w:p w14:paraId="7D55C576" w14:textId="77777777" w:rsidR="0042313F" w:rsidRDefault="0042313F" w:rsidP="0042313F">
      <w:pPr>
        <w:jc w:val="left"/>
        <w:rPr>
          <w:rFonts w:ascii="Arial" w:hAnsi="Arial" w:cs="Arial"/>
          <w:b/>
          <w:sz w:val="22"/>
          <w:szCs w:val="22"/>
        </w:rPr>
      </w:pPr>
      <w:r>
        <w:rPr>
          <w:rFonts w:ascii="Arial" w:hAnsi="Arial" w:cs="Arial"/>
          <w:b/>
          <w:sz w:val="22"/>
          <w:szCs w:val="22"/>
        </w:rPr>
        <w:t xml:space="preserve">Subtítulo: </w:t>
      </w:r>
      <w:r w:rsidRPr="0042313F">
        <w:rPr>
          <w:rFonts w:ascii="Arial" w:hAnsi="Arial" w:cs="Arial"/>
          <w:b/>
          <w:sz w:val="22"/>
          <w:szCs w:val="22"/>
        </w:rPr>
        <w:t>Concienciación  del  movimiento  flujo  de  efectivo</w:t>
      </w:r>
    </w:p>
    <w:p w14:paraId="5E854550" w14:textId="77777777" w:rsidR="0042313F" w:rsidRDefault="0042313F" w:rsidP="0042313F">
      <w:pPr>
        <w:jc w:val="left"/>
        <w:rPr>
          <w:rFonts w:ascii="Arial" w:hAnsi="Arial" w:cs="Arial"/>
          <w:b/>
          <w:sz w:val="22"/>
          <w:szCs w:val="22"/>
        </w:rPr>
      </w:pPr>
    </w:p>
    <w:p w14:paraId="39C0FB3C" w14:textId="77777777" w:rsidR="0042313F" w:rsidRPr="0042313F" w:rsidRDefault="0042313F" w:rsidP="0042313F">
      <w:pPr>
        <w:jc w:val="left"/>
        <w:rPr>
          <w:rFonts w:ascii="Arial" w:hAnsi="Arial" w:cs="Arial"/>
          <w:sz w:val="22"/>
          <w:szCs w:val="22"/>
        </w:rPr>
      </w:pPr>
      <w:r w:rsidRPr="0042313F">
        <w:rPr>
          <w:rFonts w:ascii="Arial" w:hAnsi="Arial" w:cs="Arial"/>
          <w:sz w:val="22"/>
          <w:szCs w:val="22"/>
        </w:rPr>
        <w:t xml:space="preserve">La  contabilidad  triangular logra  medir  el  impacto  de  cualquier  operación  sobre  el  flujo  de  efectivo,  lo  que facilita  la  toma  de  decisiones,  y  además  permite  tener  una  visón  al  detalle  sobre  los flujos de efectivo de la empresa </w:t>
      </w:r>
      <w:sdt>
        <w:sdtPr>
          <w:id w:val="-2097463791"/>
          <w:citation/>
        </w:sdtPr>
        <w:sdtEndPr/>
        <w:sdtContent>
          <w:r w:rsidRPr="0042313F">
            <w:rPr>
              <w:rFonts w:ascii="Arial" w:hAnsi="Arial" w:cs="Arial"/>
              <w:sz w:val="22"/>
              <w:szCs w:val="22"/>
            </w:rPr>
            <w:fldChar w:fldCharType="begin"/>
          </w:r>
          <w:r w:rsidRPr="0042313F">
            <w:rPr>
              <w:rFonts w:ascii="Arial" w:hAnsi="Arial" w:cs="Arial"/>
              <w:sz w:val="22"/>
              <w:szCs w:val="22"/>
            </w:rPr>
            <w:instrText xml:space="preserve"> CITATION Arj12 \l 9226 </w:instrText>
          </w:r>
          <w:r w:rsidRPr="0042313F">
            <w:rPr>
              <w:rFonts w:ascii="Arial" w:hAnsi="Arial" w:cs="Arial"/>
              <w:sz w:val="22"/>
              <w:szCs w:val="22"/>
            </w:rPr>
            <w:fldChar w:fldCharType="separate"/>
          </w:r>
          <w:r w:rsidRPr="0042313F">
            <w:rPr>
              <w:rFonts w:ascii="Arial" w:hAnsi="Arial" w:cs="Arial"/>
              <w:noProof/>
              <w:sz w:val="22"/>
              <w:szCs w:val="22"/>
            </w:rPr>
            <w:t>(Arjona, 2012)</w:t>
          </w:r>
          <w:r w:rsidRPr="0042313F">
            <w:rPr>
              <w:rFonts w:ascii="Arial" w:hAnsi="Arial" w:cs="Arial"/>
              <w:sz w:val="22"/>
              <w:szCs w:val="22"/>
            </w:rPr>
            <w:fldChar w:fldCharType="end"/>
          </w:r>
        </w:sdtContent>
      </w:sdt>
      <w:r w:rsidRPr="0042313F">
        <w:rPr>
          <w:rFonts w:ascii="Arial" w:hAnsi="Arial" w:cs="Arial"/>
          <w:sz w:val="22"/>
          <w:szCs w:val="22"/>
        </w:rPr>
        <w:t>.</w:t>
      </w:r>
    </w:p>
    <w:p w14:paraId="3B72F939" w14:textId="77777777" w:rsidR="0042313F" w:rsidRPr="00384CBC" w:rsidRDefault="0042313F" w:rsidP="0042313F">
      <w:pPr>
        <w:jc w:val="left"/>
        <w:rPr>
          <w:rFonts w:ascii="Arial" w:hAnsi="Arial" w:cs="Arial"/>
          <w:sz w:val="22"/>
          <w:szCs w:val="22"/>
        </w:rPr>
      </w:pPr>
    </w:p>
    <w:p w14:paraId="44CFE409" w14:textId="77777777" w:rsidR="0042313F" w:rsidRDefault="0042313F" w:rsidP="0042313F">
      <w:pPr>
        <w:jc w:val="left"/>
        <w:rPr>
          <w:rFonts w:ascii="Arial" w:hAnsi="Arial" w:cs="Arial"/>
          <w:b/>
          <w:sz w:val="22"/>
          <w:szCs w:val="22"/>
        </w:rPr>
      </w:pPr>
      <w:r>
        <w:rPr>
          <w:rFonts w:ascii="Arial" w:hAnsi="Arial" w:cs="Arial"/>
          <w:b/>
          <w:sz w:val="22"/>
          <w:szCs w:val="22"/>
        </w:rPr>
        <w:t xml:space="preserve">Subtítulo: </w:t>
      </w:r>
      <w:r w:rsidRPr="0042313F">
        <w:rPr>
          <w:rFonts w:ascii="Arial" w:hAnsi="Arial" w:cs="Arial"/>
          <w:b/>
          <w:sz w:val="22"/>
          <w:szCs w:val="22"/>
        </w:rPr>
        <w:t xml:space="preserve">Elaboración directa del </w:t>
      </w:r>
      <w:r>
        <w:rPr>
          <w:rFonts w:ascii="Arial" w:hAnsi="Arial" w:cs="Arial"/>
          <w:b/>
          <w:sz w:val="22"/>
          <w:szCs w:val="22"/>
        </w:rPr>
        <w:t>estado de flujos de efectivo</w:t>
      </w:r>
    </w:p>
    <w:p w14:paraId="766C0F6C" w14:textId="77777777" w:rsidR="0042313F" w:rsidRDefault="0042313F" w:rsidP="0042313F">
      <w:pPr>
        <w:jc w:val="left"/>
        <w:rPr>
          <w:rFonts w:ascii="Arial" w:hAnsi="Arial" w:cs="Arial"/>
          <w:b/>
          <w:sz w:val="22"/>
          <w:szCs w:val="22"/>
        </w:rPr>
      </w:pPr>
    </w:p>
    <w:p w14:paraId="2A98A07D" w14:textId="77777777" w:rsidR="0042313F" w:rsidRPr="0042313F" w:rsidRDefault="0042313F" w:rsidP="0042313F">
      <w:pPr>
        <w:jc w:val="left"/>
        <w:rPr>
          <w:rFonts w:ascii="Arial" w:hAnsi="Arial" w:cs="Arial"/>
          <w:sz w:val="22"/>
          <w:szCs w:val="22"/>
        </w:rPr>
      </w:pPr>
      <w:r>
        <w:rPr>
          <w:rFonts w:ascii="Arial" w:hAnsi="Arial" w:cs="Arial"/>
          <w:sz w:val="22"/>
          <w:szCs w:val="22"/>
        </w:rPr>
        <w:t>S</w:t>
      </w:r>
      <w:r w:rsidRPr="0042313F">
        <w:rPr>
          <w:rFonts w:ascii="Arial" w:hAnsi="Arial" w:cs="Arial"/>
          <w:sz w:val="22"/>
          <w:szCs w:val="22"/>
        </w:rPr>
        <w:t xml:space="preserve">implicidad y rapidez con la  que  se  consigue  construir  el  estado  de  flujos  de  efectivo  agrupando  las diferentes cuentas de flujo por su codificación, que se correlacionan directamente con las partidas y epígrafes del Estado. Permitiendo, además, su elaboración para cualquier  periodo  interanual  que  se  requiera,  incluso  plurianual  o  para  un  solo asiento (como se mostró en el ejemplo), y en consecuencia facilitando el análisis de su evolución histórica y comparación entre periodos, sin necesidad de tener un ejercicio cerrado para su elaboración </w:t>
      </w:r>
      <w:sdt>
        <w:sdtPr>
          <w:id w:val="1980188405"/>
          <w:citation/>
        </w:sdtPr>
        <w:sdtEndPr/>
        <w:sdtContent>
          <w:r w:rsidRPr="0042313F">
            <w:rPr>
              <w:rFonts w:ascii="Arial" w:hAnsi="Arial" w:cs="Arial"/>
              <w:sz w:val="22"/>
              <w:szCs w:val="22"/>
            </w:rPr>
            <w:fldChar w:fldCharType="begin"/>
          </w:r>
          <w:r w:rsidRPr="0042313F">
            <w:rPr>
              <w:rFonts w:ascii="Arial" w:hAnsi="Arial" w:cs="Arial"/>
              <w:sz w:val="22"/>
              <w:szCs w:val="22"/>
            </w:rPr>
            <w:instrText xml:space="preserve"> CITATION Arj12 \l 9226 </w:instrText>
          </w:r>
          <w:r w:rsidRPr="0042313F">
            <w:rPr>
              <w:rFonts w:ascii="Arial" w:hAnsi="Arial" w:cs="Arial"/>
              <w:sz w:val="22"/>
              <w:szCs w:val="22"/>
            </w:rPr>
            <w:fldChar w:fldCharType="separate"/>
          </w:r>
          <w:r w:rsidRPr="0042313F">
            <w:rPr>
              <w:rFonts w:ascii="Arial" w:hAnsi="Arial" w:cs="Arial"/>
              <w:noProof/>
              <w:sz w:val="22"/>
              <w:szCs w:val="22"/>
            </w:rPr>
            <w:t>(Arjona, 2012)</w:t>
          </w:r>
          <w:r w:rsidRPr="0042313F">
            <w:rPr>
              <w:rFonts w:ascii="Arial" w:hAnsi="Arial" w:cs="Arial"/>
              <w:sz w:val="22"/>
              <w:szCs w:val="22"/>
            </w:rPr>
            <w:fldChar w:fldCharType="end"/>
          </w:r>
        </w:sdtContent>
      </w:sdt>
      <w:r w:rsidRPr="0042313F">
        <w:rPr>
          <w:rFonts w:ascii="Arial" w:hAnsi="Arial" w:cs="Arial"/>
          <w:sz w:val="22"/>
          <w:szCs w:val="22"/>
        </w:rPr>
        <w:t>.</w:t>
      </w:r>
    </w:p>
    <w:p w14:paraId="3C51B7CC" w14:textId="77777777" w:rsidR="0042313F" w:rsidRPr="00384CBC" w:rsidRDefault="0042313F" w:rsidP="0042313F">
      <w:pPr>
        <w:jc w:val="left"/>
        <w:rPr>
          <w:rFonts w:ascii="Arial" w:hAnsi="Arial" w:cs="Arial"/>
          <w:sz w:val="22"/>
          <w:szCs w:val="22"/>
        </w:rPr>
      </w:pPr>
    </w:p>
    <w:p w14:paraId="2604E587" w14:textId="77777777" w:rsidR="0042313F" w:rsidRDefault="0042313F" w:rsidP="0042313F">
      <w:pPr>
        <w:jc w:val="left"/>
        <w:rPr>
          <w:rFonts w:ascii="Arial" w:hAnsi="Arial" w:cs="Arial"/>
          <w:b/>
          <w:sz w:val="22"/>
          <w:szCs w:val="22"/>
        </w:rPr>
      </w:pPr>
      <w:r>
        <w:rPr>
          <w:rFonts w:ascii="Arial" w:hAnsi="Arial" w:cs="Arial"/>
          <w:b/>
          <w:sz w:val="22"/>
          <w:szCs w:val="22"/>
        </w:rPr>
        <w:t xml:space="preserve">Subtítulo: </w:t>
      </w:r>
      <w:r w:rsidRPr="0042313F">
        <w:rPr>
          <w:rFonts w:ascii="Arial" w:hAnsi="Arial" w:cs="Arial"/>
          <w:b/>
          <w:sz w:val="22"/>
          <w:szCs w:val="22"/>
        </w:rPr>
        <w:t>Información relevante</w:t>
      </w:r>
    </w:p>
    <w:p w14:paraId="24E62C69" w14:textId="77777777" w:rsidR="0042313F" w:rsidRDefault="0042313F" w:rsidP="0042313F">
      <w:pPr>
        <w:jc w:val="left"/>
        <w:rPr>
          <w:rFonts w:ascii="Arial" w:hAnsi="Arial" w:cs="Arial"/>
          <w:b/>
          <w:sz w:val="22"/>
          <w:szCs w:val="22"/>
        </w:rPr>
      </w:pPr>
    </w:p>
    <w:p w14:paraId="2D426CBF" w14:textId="77777777" w:rsidR="0042313F" w:rsidRPr="0042313F" w:rsidRDefault="0042313F" w:rsidP="0042313F">
      <w:pPr>
        <w:jc w:val="left"/>
        <w:rPr>
          <w:rFonts w:ascii="Arial" w:hAnsi="Arial" w:cs="Arial"/>
          <w:sz w:val="22"/>
          <w:szCs w:val="22"/>
        </w:rPr>
      </w:pPr>
      <w:r w:rsidRPr="0042313F">
        <w:rPr>
          <w:rFonts w:ascii="Arial" w:hAnsi="Arial" w:cs="Arial"/>
          <w:sz w:val="22"/>
          <w:szCs w:val="22"/>
        </w:rPr>
        <w:t xml:space="preserve">La contabilidad triangular permite obtener una relación de los saldos de las cuentas de flujo que conforman los distintos epígrafes del Estado de  Flujos  de  Efectivo,    y  llegar  al  máximo  detalle  de  las  cuentas  de  flujo;  su movimiento  y  el  asiento  o  hecho  contable  que  provocó  su  registro.  Sin  la contabilidad  triangular  dicha  información  resulta  mucho  más  costosa  y  compleja de obtener, y se hace necesario acudir a información extracontable </w:t>
      </w:r>
      <w:sdt>
        <w:sdtPr>
          <w:id w:val="702910234"/>
          <w:citation/>
        </w:sdtPr>
        <w:sdtEndPr/>
        <w:sdtContent>
          <w:r w:rsidRPr="0042313F">
            <w:rPr>
              <w:rFonts w:ascii="Arial" w:hAnsi="Arial" w:cs="Arial"/>
              <w:sz w:val="22"/>
              <w:szCs w:val="22"/>
            </w:rPr>
            <w:fldChar w:fldCharType="begin"/>
          </w:r>
          <w:r w:rsidRPr="0042313F">
            <w:rPr>
              <w:rFonts w:ascii="Arial" w:hAnsi="Arial" w:cs="Arial"/>
              <w:sz w:val="22"/>
              <w:szCs w:val="22"/>
            </w:rPr>
            <w:instrText xml:space="preserve"> CITATION Arj12 \l 9226 </w:instrText>
          </w:r>
          <w:r w:rsidRPr="0042313F">
            <w:rPr>
              <w:rFonts w:ascii="Arial" w:hAnsi="Arial" w:cs="Arial"/>
              <w:sz w:val="22"/>
              <w:szCs w:val="22"/>
            </w:rPr>
            <w:fldChar w:fldCharType="separate"/>
          </w:r>
          <w:r w:rsidRPr="0042313F">
            <w:rPr>
              <w:rFonts w:ascii="Arial" w:hAnsi="Arial" w:cs="Arial"/>
              <w:noProof/>
              <w:sz w:val="22"/>
              <w:szCs w:val="22"/>
            </w:rPr>
            <w:t>(Arjona, 2012)</w:t>
          </w:r>
          <w:r w:rsidRPr="0042313F">
            <w:rPr>
              <w:rFonts w:ascii="Arial" w:hAnsi="Arial" w:cs="Arial"/>
              <w:sz w:val="22"/>
              <w:szCs w:val="22"/>
            </w:rPr>
            <w:fldChar w:fldCharType="end"/>
          </w:r>
        </w:sdtContent>
      </w:sdt>
      <w:r w:rsidRPr="0042313F">
        <w:rPr>
          <w:rFonts w:ascii="Arial" w:hAnsi="Arial" w:cs="Arial"/>
          <w:sz w:val="22"/>
          <w:szCs w:val="22"/>
        </w:rPr>
        <w:t>.</w:t>
      </w:r>
    </w:p>
    <w:p w14:paraId="6852A27E" w14:textId="77777777" w:rsidR="0042313F" w:rsidRPr="00384CBC" w:rsidRDefault="0042313F" w:rsidP="0042313F">
      <w:pPr>
        <w:jc w:val="left"/>
        <w:rPr>
          <w:rFonts w:ascii="Arial" w:hAnsi="Arial" w:cs="Arial"/>
          <w:sz w:val="22"/>
          <w:szCs w:val="22"/>
        </w:rPr>
      </w:pPr>
    </w:p>
    <w:p w14:paraId="4530A413" w14:textId="77777777" w:rsidR="0042313F" w:rsidRDefault="0042313F" w:rsidP="0042313F">
      <w:pPr>
        <w:jc w:val="left"/>
        <w:rPr>
          <w:rFonts w:ascii="Arial" w:hAnsi="Arial" w:cs="Arial"/>
          <w:b/>
          <w:sz w:val="22"/>
          <w:szCs w:val="22"/>
        </w:rPr>
      </w:pPr>
      <w:r>
        <w:rPr>
          <w:rFonts w:ascii="Arial" w:hAnsi="Arial" w:cs="Arial"/>
          <w:b/>
          <w:sz w:val="22"/>
          <w:szCs w:val="22"/>
        </w:rPr>
        <w:t xml:space="preserve">Subtítulo: </w:t>
      </w:r>
      <w:r w:rsidRPr="0042313F">
        <w:rPr>
          <w:rFonts w:ascii="Arial" w:hAnsi="Arial" w:cs="Arial"/>
          <w:b/>
          <w:sz w:val="22"/>
          <w:szCs w:val="22"/>
        </w:rPr>
        <w:t>Mayor precisión en la elaboración del estado de flujos de efectivo</w:t>
      </w:r>
    </w:p>
    <w:p w14:paraId="761340BE" w14:textId="77777777" w:rsidR="0042313F" w:rsidRDefault="0042313F" w:rsidP="0042313F">
      <w:pPr>
        <w:jc w:val="left"/>
        <w:rPr>
          <w:rFonts w:ascii="Arial" w:hAnsi="Arial" w:cs="Arial"/>
          <w:b/>
          <w:sz w:val="22"/>
          <w:szCs w:val="22"/>
        </w:rPr>
      </w:pPr>
    </w:p>
    <w:p w14:paraId="5BA7C30A" w14:textId="77777777" w:rsidR="0042313F" w:rsidRPr="0042313F" w:rsidRDefault="0042313F" w:rsidP="0042313F">
      <w:pPr>
        <w:jc w:val="left"/>
        <w:rPr>
          <w:rFonts w:ascii="Arial" w:hAnsi="Arial" w:cs="Arial"/>
          <w:sz w:val="22"/>
          <w:szCs w:val="22"/>
        </w:rPr>
      </w:pPr>
      <w:r w:rsidRPr="0042313F">
        <w:rPr>
          <w:rFonts w:ascii="Arial" w:hAnsi="Arial" w:cs="Arial"/>
          <w:sz w:val="22"/>
          <w:szCs w:val="22"/>
        </w:rPr>
        <w:t xml:space="preserve">Al atacar directamente al hecho contable, el registro de los movimientos de flujos es mucho más   preciso,   adecuándose   al   hecho   contable,   lo   que   se   traslada   a   una elaboración  más  precisa  y  fiel  respecto  a  los  movimientos  de  flujo,  que  la elaboración tradicional del estado </w:t>
      </w:r>
      <w:sdt>
        <w:sdtPr>
          <w:id w:val="-885714447"/>
          <w:citation/>
        </w:sdtPr>
        <w:sdtEndPr/>
        <w:sdtContent>
          <w:r w:rsidRPr="0042313F">
            <w:rPr>
              <w:rFonts w:ascii="Arial" w:hAnsi="Arial" w:cs="Arial"/>
              <w:sz w:val="22"/>
              <w:szCs w:val="22"/>
            </w:rPr>
            <w:fldChar w:fldCharType="begin"/>
          </w:r>
          <w:r w:rsidRPr="0042313F">
            <w:rPr>
              <w:rFonts w:ascii="Arial" w:hAnsi="Arial" w:cs="Arial"/>
              <w:sz w:val="22"/>
              <w:szCs w:val="22"/>
            </w:rPr>
            <w:instrText xml:space="preserve"> CITATION Arj12 \l 9226 </w:instrText>
          </w:r>
          <w:r w:rsidRPr="0042313F">
            <w:rPr>
              <w:rFonts w:ascii="Arial" w:hAnsi="Arial" w:cs="Arial"/>
              <w:sz w:val="22"/>
              <w:szCs w:val="22"/>
            </w:rPr>
            <w:fldChar w:fldCharType="separate"/>
          </w:r>
          <w:r w:rsidRPr="0042313F">
            <w:rPr>
              <w:rFonts w:ascii="Arial" w:hAnsi="Arial" w:cs="Arial"/>
              <w:noProof/>
              <w:sz w:val="22"/>
              <w:szCs w:val="22"/>
            </w:rPr>
            <w:t>(Arjona, 2012)</w:t>
          </w:r>
          <w:r w:rsidRPr="0042313F">
            <w:rPr>
              <w:rFonts w:ascii="Arial" w:hAnsi="Arial" w:cs="Arial"/>
              <w:sz w:val="22"/>
              <w:szCs w:val="22"/>
            </w:rPr>
            <w:fldChar w:fldCharType="end"/>
          </w:r>
        </w:sdtContent>
      </w:sdt>
      <w:r w:rsidRPr="0042313F">
        <w:rPr>
          <w:rFonts w:ascii="Arial" w:hAnsi="Arial" w:cs="Arial"/>
          <w:sz w:val="22"/>
          <w:szCs w:val="22"/>
        </w:rPr>
        <w:t>.</w:t>
      </w:r>
    </w:p>
    <w:p w14:paraId="4DF246F3" w14:textId="77777777" w:rsidR="0042313F" w:rsidRPr="00384CBC" w:rsidRDefault="0042313F" w:rsidP="0042313F">
      <w:pPr>
        <w:pStyle w:val="ListParagraph"/>
        <w:jc w:val="left"/>
        <w:rPr>
          <w:rFonts w:ascii="Arial" w:hAnsi="Arial" w:cs="Arial"/>
          <w:sz w:val="22"/>
          <w:szCs w:val="22"/>
        </w:rPr>
      </w:pPr>
    </w:p>
    <w:p w14:paraId="6298BCD4" w14:textId="77777777" w:rsidR="0042313F" w:rsidRDefault="0042313F" w:rsidP="0042313F">
      <w:pPr>
        <w:jc w:val="left"/>
        <w:rPr>
          <w:rFonts w:ascii="Arial" w:hAnsi="Arial" w:cs="Arial"/>
          <w:b/>
          <w:sz w:val="22"/>
          <w:szCs w:val="22"/>
        </w:rPr>
      </w:pPr>
      <w:r w:rsidRPr="0042313F">
        <w:rPr>
          <w:rFonts w:ascii="Arial" w:hAnsi="Arial" w:cs="Arial"/>
          <w:b/>
          <w:sz w:val="22"/>
          <w:szCs w:val="22"/>
        </w:rPr>
        <w:t>Subtítulo: Independencia  y  complementariedad</w:t>
      </w:r>
    </w:p>
    <w:p w14:paraId="18910814" w14:textId="77777777" w:rsidR="0042313F" w:rsidRDefault="0042313F" w:rsidP="0042313F">
      <w:pPr>
        <w:jc w:val="left"/>
        <w:rPr>
          <w:rFonts w:ascii="Arial" w:hAnsi="Arial" w:cs="Arial"/>
          <w:b/>
          <w:sz w:val="22"/>
          <w:szCs w:val="22"/>
        </w:rPr>
      </w:pPr>
    </w:p>
    <w:p w14:paraId="0EEFB2CC" w14:textId="77777777" w:rsidR="0042313F" w:rsidRPr="0042313F" w:rsidRDefault="0042313F" w:rsidP="0042313F">
      <w:pPr>
        <w:jc w:val="left"/>
        <w:rPr>
          <w:rFonts w:ascii="Arial" w:hAnsi="Arial" w:cs="Arial"/>
          <w:sz w:val="22"/>
          <w:szCs w:val="22"/>
        </w:rPr>
      </w:pPr>
      <w:r w:rsidRPr="0042313F">
        <w:rPr>
          <w:rFonts w:ascii="Arial" w:hAnsi="Arial" w:cs="Arial"/>
          <w:sz w:val="22"/>
          <w:szCs w:val="22"/>
        </w:rPr>
        <w:t xml:space="preserve">La  contabilidad  triangular  no  distorsiona ni condiciona en ningún momento el registro de la contabilidad tradicional: es una agregación. La contabilidad de partida triple se registra complementariamente a la contabilidad de partida doble, teniendo un carácter opcional. El procedimiento del cuadre de los asientos, la elaboración de estados, y la elaboración del balance de comprobación  de  sumas  y  saldos  bajo  la  contabilidad  triangular,  es  exactamente el   mismo   que   en   la   contabilidad   de   partida   doble.   Cualquier   sistema   de información  contable  podría  facilitar  la  opcionalidad  de  la  contabilidad  triangular, de tal forma, que la información facilitada por la contabilidad de partida doble fuera la misma, independientemente de si se registrase las cuentas de flujo o no </w:t>
      </w:r>
      <w:sdt>
        <w:sdtPr>
          <w:id w:val="772441542"/>
          <w:citation/>
        </w:sdtPr>
        <w:sdtEndPr/>
        <w:sdtContent>
          <w:r w:rsidRPr="0042313F">
            <w:rPr>
              <w:rFonts w:ascii="Arial" w:hAnsi="Arial" w:cs="Arial"/>
              <w:sz w:val="22"/>
              <w:szCs w:val="22"/>
            </w:rPr>
            <w:fldChar w:fldCharType="begin"/>
          </w:r>
          <w:r w:rsidRPr="0042313F">
            <w:rPr>
              <w:rFonts w:ascii="Arial" w:hAnsi="Arial" w:cs="Arial"/>
              <w:sz w:val="22"/>
              <w:szCs w:val="22"/>
            </w:rPr>
            <w:instrText xml:space="preserve"> CITATION Arj12 \l 9226 </w:instrText>
          </w:r>
          <w:r w:rsidRPr="0042313F">
            <w:rPr>
              <w:rFonts w:ascii="Arial" w:hAnsi="Arial" w:cs="Arial"/>
              <w:sz w:val="22"/>
              <w:szCs w:val="22"/>
            </w:rPr>
            <w:fldChar w:fldCharType="separate"/>
          </w:r>
          <w:r w:rsidRPr="0042313F">
            <w:rPr>
              <w:rFonts w:ascii="Arial" w:hAnsi="Arial" w:cs="Arial"/>
              <w:noProof/>
              <w:sz w:val="22"/>
              <w:szCs w:val="22"/>
            </w:rPr>
            <w:t>(Arjona, 2012)</w:t>
          </w:r>
          <w:r w:rsidRPr="0042313F">
            <w:rPr>
              <w:rFonts w:ascii="Arial" w:hAnsi="Arial" w:cs="Arial"/>
              <w:sz w:val="22"/>
              <w:szCs w:val="22"/>
            </w:rPr>
            <w:fldChar w:fldCharType="end"/>
          </w:r>
        </w:sdtContent>
      </w:sdt>
      <w:r w:rsidRPr="0042313F">
        <w:rPr>
          <w:rFonts w:ascii="Arial" w:hAnsi="Arial" w:cs="Arial"/>
          <w:sz w:val="22"/>
          <w:szCs w:val="22"/>
        </w:rPr>
        <w:t>.</w:t>
      </w:r>
    </w:p>
    <w:p w14:paraId="1CAAF32F" w14:textId="77777777" w:rsidR="00C40874" w:rsidRDefault="00C40874"/>
    <w:sectPr w:rsidR="00C40874" w:rsidSect="00C408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5B5"/>
    <w:multiLevelType w:val="hybridMultilevel"/>
    <w:tmpl w:val="574A1FD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5564064"/>
    <w:multiLevelType w:val="hybridMultilevel"/>
    <w:tmpl w:val="EF3EB7A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CAC281F"/>
    <w:multiLevelType w:val="hybridMultilevel"/>
    <w:tmpl w:val="CA8CF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75B7A81"/>
    <w:multiLevelType w:val="hybridMultilevel"/>
    <w:tmpl w:val="008EB8F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599E449A"/>
    <w:multiLevelType w:val="hybridMultilevel"/>
    <w:tmpl w:val="06101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C4753E7"/>
    <w:multiLevelType w:val="hybridMultilevel"/>
    <w:tmpl w:val="2E365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A084628"/>
    <w:multiLevelType w:val="hybridMultilevel"/>
    <w:tmpl w:val="5F2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3F"/>
    <w:rsid w:val="00360879"/>
    <w:rsid w:val="0042313F"/>
    <w:rsid w:val="00BA00A7"/>
    <w:rsid w:val="00C4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0767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3F"/>
    <w:pPr>
      <w:jc w:val="both"/>
    </w:pPr>
    <w:rPr>
      <w:rFonts w:ascii="Times New Roman" w:eastAsia="Times New Roman" w:hAnsi="Times New Roman" w:cs="Times New Roman"/>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3F"/>
    <w:pPr>
      <w:ind w:left="720"/>
      <w:contextualSpacing/>
    </w:pPr>
  </w:style>
  <w:style w:type="paragraph" w:styleId="Caption">
    <w:name w:val="caption"/>
    <w:basedOn w:val="Normal"/>
    <w:next w:val="Normal"/>
    <w:uiPriority w:val="35"/>
    <w:unhideWhenUsed/>
    <w:qFormat/>
    <w:rsid w:val="0042313F"/>
    <w:pPr>
      <w:spacing w:after="200"/>
    </w:pPr>
    <w:rPr>
      <w:bCs/>
      <w:color w:val="000000" w:themeColor="text1"/>
      <w:sz w:val="16"/>
      <w:szCs w:val="18"/>
    </w:rPr>
  </w:style>
  <w:style w:type="paragraph" w:styleId="BalloonText">
    <w:name w:val="Balloon Text"/>
    <w:basedOn w:val="Normal"/>
    <w:link w:val="BalloonTextChar"/>
    <w:uiPriority w:val="99"/>
    <w:semiHidden/>
    <w:unhideWhenUsed/>
    <w:rsid w:val="004231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313F"/>
    <w:rPr>
      <w:rFonts w:ascii="Lucida Grande" w:eastAsia="Times New Roman" w:hAnsi="Lucida Grande" w:cs="Lucida Grande"/>
      <w:sz w:val="18"/>
      <w:szCs w:val="18"/>
      <w:lang w:val="es-CO"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3F"/>
    <w:pPr>
      <w:jc w:val="both"/>
    </w:pPr>
    <w:rPr>
      <w:rFonts w:ascii="Times New Roman" w:eastAsia="Times New Roman" w:hAnsi="Times New Roman" w:cs="Times New Roman"/>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3F"/>
    <w:pPr>
      <w:ind w:left="720"/>
      <w:contextualSpacing/>
    </w:pPr>
  </w:style>
  <w:style w:type="paragraph" w:styleId="Caption">
    <w:name w:val="caption"/>
    <w:basedOn w:val="Normal"/>
    <w:next w:val="Normal"/>
    <w:uiPriority w:val="35"/>
    <w:unhideWhenUsed/>
    <w:qFormat/>
    <w:rsid w:val="0042313F"/>
    <w:pPr>
      <w:spacing w:after="200"/>
    </w:pPr>
    <w:rPr>
      <w:bCs/>
      <w:color w:val="000000" w:themeColor="text1"/>
      <w:sz w:val="16"/>
      <w:szCs w:val="18"/>
    </w:rPr>
  </w:style>
  <w:style w:type="paragraph" w:styleId="BalloonText">
    <w:name w:val="Balloon Text"/>
    <w:basedOn w:val="Normal"/>
    <w:link w:val="BalloonTextChar"/>
    <w:uiPriority w:val="99"/>
    <w:semiHidden/>
    <w:unhideWhenUsed/>
    <w:rsid w:val="004231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313F"/>
    <w:rPr>
      <w:rFonts w:ascii="Lucida Grande" w:eastAsia="Times New Roman" w:hAnsi="Lucida Grande" w:cs="Lucida Grande"/>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Arj12</b:Tag>
    <b:SourceType>DocumentFromInternetSite</b:SourceType>
    <b:Guid>{FC044358-74C7-4CE5-9B76-9B0BFC511039}</b:Guid>
    <b:Title>Planteamiento de la contabilidad triangular o partida triple</b:Title>
    <b:InternetSiteTitle>Revista de la Asociación Española de Contabilidad y Administración de Empresas</b:InternetSiteTitle>
    <b:Year>2012</b:Year>
    <b:URL>http://www.aeca1.org/pub/on_line/comunicaciones_xviicongresoaeca/cd/12a.pdf</b:URL>
    <b:Author>
      <b:Author>
        <b:NameList>
          <b:Person>
            <b:Last>Arjona</b:Last>
            <b:First>Antonio</b:First>
          </b:Person>
        </b:NameList>
      </b:Author>
    </b:Author>
    <b:RefOrder>1</b:RefOrder>
  </b:Source>
</b:Sources>
</file>

<file path=customXml/itemProps1.xml><?xml version="1.0" encoding="utf-8"?>
<ds:datastoreItem xmlns:ds="http://schemas.openxmlformats.org/officeDocument/2006/customXml" ds:itemID="{32BF894E-CB25-7F41-9916-764D743B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5586</Characters>
  <Application>Microsoft Macintosh Word</Application>
  <DocSecurity>0</DocSecurity>
  <Lines>46</Lines>
  <Paragraphs>13</Paragraphs>
  <ScaleCrop>false</ScaleCrop>
  <Company>Personal</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3</cp:revision>
  <dcterms:created xsi:type="dcterms:W3CDTF">2018-07-22T16:29:00Z</dcterms:created>
  <dcterms:modified xsi:type="dcterms:W3CDTF">2018-08-12T14:38:00Z</dcterms:modified>
</cp:coreProperties>
</file>