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9C5F0" w14:textId="77777777" w:rsidR="006B0488" w:rsidRDefault="006B0488" w:rsidP="006B0488">
      <w:pPr>
        <w:jc w:val="center"/>
        <w:rPr>
          <w:rFonts w:ascii="Arial" w:hAnsi="Arial" w:cs="Arial"/>
          <w:b/>
          <w:sz w:val="24"/>
          <w:szCs w:val="24"/>
        </w:rPr>
      </w:pPr>
      <w:r>
        <w:rPr>
          <w:rFonts w:ascii="Arial" w:hAnsi="Arial" w:cs="Arial"/>
          <w:b/>
          <w:sz w:val="24"/>
          <w:szCs w:val="24"/>
        </w:rPr>
        <w:t>Interactividad: Métodos de distribución</w:t>
      </w:r>
    </w:p>
    <w:p w14:paraId="218B5D9C" w14:textId="77777777" w:rsidR="00D07AAE" w:rsidRDefault="00D07AAE" w:rsidP="00D07AAE">
      <w:pPr>
        <w:jc w:val="center"/>
        <w:rPr>
          <w:rFonts w:ascii="Arial" w:hAnsi="Arial" w:cs="Arial"/>
          <w:sz w:val="24"/>
          <w:szCs w:val="24"/>
        </w:rPr>
      </w:pPr>
    </w:p>
    <w:p w14:paraId="4C918304" w14:textId="4F7D5C01" w:rsidR="00C90C44" w:rsidRPr="00C90C44" w:rsidRDefault="00C90C44" w:rsidP="00C90C44">
      <w:pPr>
        <w:rPr>
          <w:rFonts w:ascii="Arial" w:hAnsi="Arial" w:cs="Arial"/>
          <w:color w:val="FF0000"/>
          <w:sz w:val="24"/>
          <w:szCs w:val="24"/>
        </w:rPr>
      </w:pPr>
      <w:r w:rsidRPr="00C90C44">
        <w:rPr>
          <w:rFonts w:ascii="Arial" w:hAnsi="Arial" w:cs="Arial"/>
          <w:color w:val="FF0000"/>
          <w:sz w:val="24"/>
          <w:szCs w:val="24"/>
        </w:rPr>
        <w:t>Por favor realizar una interactividad como la de la referencia:</w:t>
      </w:r>
    </w:p>
    <w:p w14:paraId="374E6D8E" w14:textId="3B79BE94" w:rsidR="00C90C44" w:rsidRDefault="008F66DE" w:rsidP="00D07AAE">
      <w:pPr>
        <w:jc w:val="center"/>
        <w:rPr>
          <w:rFonts w:ascii="Arial" w:hAnsi="Arial" w:cs="Arial"/>
          <w:sz w:val="24"/>
          <w:szCs w:val="24"/>
        </w:rPr>
      </w:pPr>
      <w:r>
        <w:rPr>
          <w:noProof/>
          <w:lang w:val="en-US"/>
        </w:rPr>
        <w:drawing>
          <wp:inline distT="114300" distB="114300" distL="114300" distR="114300" wp14:anchorId="489109EF" wp14:editId="7F36EB50">
            <wp:extent cx="4314825" cy="2628900"/>
            <wp:effectExtent l="0" t="0" r="0" b="0"/>
            <wp:docPr id="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a:srcRect/>
                    <a:stretch>
                      <a:fillRect/>
                    </a:stretch>
                  </pic:blipFill>
                  <pic:spPr>
                    <a:xfrm>
                      <a:off x="0" y="0"/>
                      <a:ext cx="4314825" cy="2628900"/>
                    </a:xfrm>
                    <a:prstGeom prst="rect">
                      <a:avLst/>
                    </a:prstGeom>
                    <a:ln/>
                  </pic:spPr>
                </pic:pic>
              </a:graphicData>
            </a:graphic>
          </wp:inline>
        </w:drawing>
      </w:r>
    </w:p>
    <w:p w14:paraId="173F7D97" w14:textId="77777777" w:rsidR="00C90C44" w:rsidRDefault="00C90C44" w:rsidP="00C90C44">
      <w:pPr>
        <w:rPr>
          <w:rFonts w:ascii="Arial" w:hAnsi="Arial" w:cs="Arial"/>
          <w:sz w:val="24"/>
          <w:szCs w:val="24"/>
        </w:rPr>
      </w:pPr>
    </w:p>
    <w:p w14:paraId="79C1BA8E" w14:textId="0BD71885" w:rsidR="00C90C44" w:rsidRPr="00752B2C" w:rsidRDefault="00C90C44" w:rsidP="00D76371">
      <w:pPr>
        <w:rPr>
          <w:rFonts w:ascii="Arial" w:hAnsi="Arial" w:cs="Arial"/>
        </w:rPr>
      </w:pPr>
      <w:r w:rsidRPr="00752B2C">
        <w:rPr>
          <w:rFonts w:ascii="Arial" w:hAnsi="Arial" w:cs="Arial"/>
          <w:color w:val="FF0000"/>
        </w:rPr>
        <w:t>Título:</w:t>
      </w:r>
      <w:r w:rsidRPr="00752B2C">
        <w:rPr>
          <w:rFonts w:ascii="Arial" w:hAnsi="Arial" w:cs="Arial"/>
        </w:rPr>
        <w:t xml:space="preserve"> Métodos de distribuión</w:t>
      </w:r>
    </w:p>
    <w:p w14:paraId="56E43521" w14:textId="77777777" w:rsidR="00C90C44" w:rsidRPr="00752B2C" w:rsidRDefault="00C90C44" w:rsidP="00D76371">
      <w:pPr>
        <w:rPr>
          <w:rFonts w:ascii="Arial" w:hAnsi="Arial" w:cs="Arial"/>
        </w:rPr>
      </w:pPr>
    </w:p>
    <w:p w14:paraId="55D45E83" w14:textId="3BC38EDB" w:rsidR="00C90C44" w:rsidRPr="00752B2C" w:rsidRDefault="00C90C44" w:rsidP="00D76371">
      <w:pPr>
        <w:rPr>
          <w:rFonts w:ascii="Arial" w:hAnsi="Arial" w:cs="Arial"/>
        </w:rPr>
      </w:pPr>
      <w:r w:rsidRPr="00752B2C">
        <w:rPr>
          <w:rFonts w:ascii="Arial" w:hAnsi="Arial" w:cs="Arial"/>
          <w:color w:val="FF0000"/>
        </w:rPr>
        <w:t>Instrucción:</w:t>
      </w:r>
      <w:r w:rsidRPr="00752B2C">
        <w:rPr>
          <w:rFonts w:ascii="Arial" w:hAnsi="Arial" w:cs="Arial"/>
        </w:rPr>
        <w:t xml:space="preserve"> Haga clic sobre cada cuadro de texto, con el fin de ahondar en los métodos de distribución.</w:t>
      </w:r>
    </w:p>
    <w:p w14:paraId="52229133" w14:textId="77777777" w:rsidR="00C90C44" w:rsidRPr="00752B2C" w:rsidRDefault="00C90C44" w:rsidP="00D76371">
      <w:pPr>
        <w:rPr>
          <w:rFonts w:ascii="Arial" w:hAnsi="Arial" w:cs="Arial"/>
          <w:color w:val="FF0000"/>
        </w:rPr>
      </w:pPr>
    </w:p>
    <w:p w14:paraId="7E8A2DD6" w14:textId="506D7308" w:rsidR="00C90C44" w:rsidRPr="00752B2C" w:rsidRDefault="00C90C44" w:rsidP="00D76371">
      <w:pPr>
        <w:rPr>
          <w:rFonts w:ascii="Arial" w:hAnsi="Arial" w:cs="Arial"/>
        </w:rPr>
      </w:pPr>
      <w:r w:rsidRPr="00752B2C">
        <w:rPr>
          <w:rFonts w:ascii="Arial" w:hAnsi="Arial" w:cs="Arial"/>
          <w:color w:val="FF0000"/>
        </w:rPr>
        <w:t>Botones:</w:t>
      </w:r>
      <w:r w:rsidRPr="00752B2C">
        <w:rPr>
          <w:rFonts w:ascii="Arial" w:hAnsi="Arial" w:cs="Arial"/>
        </w:rPr>
        <w:t xml:space="preserve"> MPU / MRPU / </w:t>
      </w:r>
      <w:r w:rsidR="008F66DE" w:rsidRPr="00752B2C">
        <w:rPr>
          <w:rFonts w:ascii="Arial" w:hAnsi="Arial" w:cs="Arial"/>
        </w:rPr>
        <w:t xml:space="preserve">Distribución de capital empleado / PDM / </w:t>
      </w:r>
      <w:r w:rsidRPr="00752B2C">
        <w:rPr>
          <w:rFonts w:ascii="Arial" w:hAnsi="Arial" w:cs="Arial"/>
        </w:rPr>
        <w:t>Otros métodos</w:t>
      </w:r>
    </w:p>
    <w:p w14:paraId="132931AA" w14:textId="77777777" w:rsidR="00C90C44" w:rsidRPr="00752B2C" w:rsidRDefault="00C90C44" w:rsidP="00D76371">
      <w:pPr>
        <w:rPr>
          <w:rFonts w:ascii="Arial" w:hAnsi="Arial" w:cs="Arial"/>
        </w:rPr>
      </w:pPr>
    </w:p>
    <w:p w14:paraId="2E62FBF5" w14:textId="2668BE7F" w:rsidR="00C90C44" w:rsidRPr="00752B2C" w:rsidRDefault="00C90C44" w:rsidP="00D76371">
      <w:pPr>
        <w:rPr>
          <w:rFonts w:ascii="Arial" w:hAnsi="Arial" w:cs="Arial"/>
          <w:color w:val="FF0000"/>
        </w:rPr>
      </w:pPr>
      <w:r w:rsidRPr="00752B2C">
        <w:rPr>
          <w:rFonts w:ascii="Arial" w:hAnsi="Arial" w:cs="Arial"/>
          <w:color w:val="FF0000"/>
        </w:rPr>
        <w:t>Contenido:</w:t>
      </w:r>
    </w:p>
    <w:bookmarkStart w:id="0" w:name="_Toc494308746"/>
    <w:p w14:paraId="7A92DFD7" w14:textId="77777777" w:rsidR="00D07AAE" w:rsidRPr="00752B2C" w:rsidRDefault="00D07AAE" w:rsidP="00D76371">
      <w:pPr>
        <w:pStyle w:val="Heading3"/>
        <w:numPr>
          <w:ilvl w:val="0"/>
          <w:numId w:val="0"/>
        </w:numPr>
        <w:ind w:left="720" w:hanging="720"/>
        <w:rPr>
          <w:rFonts w:ascii="Arial" w:hAnsi="Arial" w:cs="Arial"/>
          <w:b/>
          <w:sz w:val="22"/>
          <w:szCs w:val="22"/>
        </w:rPr>
      </w:pPr>
      <w:r w:rsidRPr="00752B2C">
        <w:rPr>
          <w:rFonts w:ascii="Arial" w:hAnsi="Arial" w:cs="Arial"/>
          <w:b/>
          <w:sz w:val="22"/>
          <w:szCs w:val="22"/>
        </w:rPr>
        <w:fldChar w:fldCharType="begin"/>
      </w:r>
      <w:r w:rsidRPr="00752B2C">
        <w:rPr>
          <w:rFonts w:ascii="Arial" w:hAnsi="Arial" w:cs="Arial"/>
          <w:b/>
          <w:sz w:val="22"/>
          <w:szCs w:val="22"/>
        </w:rPr>
        <w:instrText xml:space="preserve"> HYPERLINK  \l "_Glosario" </w:instrText>
      </w:r>
      <w:r w:rsidRPr="00752B2C">
        <w:rPr>
          <w:rFonts w:ascii="Arial" w:hAnsi="Arial" w:cs="Arial"/>
          <w:b/>
          <w:sz w:val="22"/>
          <w:szCs w:val="22"/>
        </w:rPr>
        <w:fldChar w:fldCharType="separate"/>
      </w:r>
      <w:bookmarkStart w:id="1" w:name="_Toc507575087"/>
      <w:r w:rsidRPr="00752B2C">
        <w:rPr>
          <w:rStyle w:val="Hyperlink"/>
          <w:rFonts w:ascii="Arial" w:hAnsi="Arial" w:cs="Arial"/>
          <w:b/>
          <w:color w:val="auto"/>
          <w:sz w:val="22"/>
          <w:szCs w:val="22"/>
          <w:u w:val="none"/>
        </w:rPr>
        <w:t>MPU</w:t>
      </w:r>
      <w:r w:rsidRPr="00752B2C">
        <w:rPr>
          <w:rFonts w:ascii="Arial" w:hAnsi="Arial" w:cs="Arial"/>
          <w:b/>
          <w:sz w:val="22"/>
          <w:szCs w:val="22"/>
        </w:rPr>
        <w:fldChar w:fldCharType="end"/>
      </w:r>
      <w:bookmarkEnd w:id="0"/>
      <w:bookmarkEnd w:id="1"/>
    </w:p>
    <w:p w14:paraId="3FAA21ED" w14:textId="4582D810" w:rsidR="00D07AAE" w:rsidRPr="00752B2C" w:rsidRDefault="00C350B9" w:rsidP="00D76371">
      <w:pPr>
        <w:rPr>
          <w:rFonts w:ascii="Arial" w:hAnsi="Arial" w:cs="Arial"/>
        </w:rPr>
      </w:pPr>
      <w:r w:rsidRPr="00752B2C">
        <w:rPr>
          <w:rFonts w:ascii="Arial" w:hAnsi="Arial" w:cs="Arial"/>
        </w:rPr>
        <w:br/>
      </w:r>
      <w:r w:rsidR="00D07AAE" w:rsidRPr="00752B2C">
        <w:rPr>
          <w:rFonts w:ascii="Arial" w:hAnsi="Arial" w:cs="Arial"/>
        </w:rPr>
        <w:t>Este método es conocido como transaccional y resulta aplicable en aquellas transacciones en las cuales las funciones, activos y riesgos aportados por cada parte relacionada estén correlacionados, dificultando su evaluación individual o de manera transaccional</w:t>
      </w:r>
      <w:r w:rsidR="008F66DE" w:rsidRPr="00752B2C">
        <w:rPr>
          <w:rFonts w:ascii="Arial" w:hAnsi="Arial" w:cs="Arial"/>
        </w:rPr>
        <w:t xml:space="preserve"> (Comisión Fiscal Internacional, 2013), </w:t>
      </w:r>
      <w:r w:rsidR="00D07AAE" w:rsidRPr="00752B2C">
        <w:rPr>
          <w:rFonts w:ascii="Arial" w:hAnsi="Arial" w:cs="Arial"/>
        </w:rPr>
        <w:t>donde:</w:t>
      </w:r>
    </w:p>
    <w:p w14:paraId="7CE44474" w14:textId="77777777" w:rsidR="00D07AAE" w:rsidRPr="00752B2C" w:rsidRDefault="00D07AAE" w:rsidP="00D76371">
      <w:pPr>
        <w:pStyle w:val="ListParagraph"/>
        <w:numPr>
          <w:ilvl w:val="0"/>
          <w:numId w:val="2"/>
        </w:numPr>
        <w:ind w:left="709"/>
        <w:jc w:val="left"/>
        <w:rPr>
          <w:rFonts w:ascii="Arial" w:hAnsi="Arial" w:cs="Arial"/>
          <w:sz w:val="22"/>
          <w:szCs w:val="22"/>
        </w:rPr>
      </w:pPr>
      <w:r w:rsidRPr="00752B2C">
        <w:rPr>
          <w:rFonts w:ascii="Arial" w:hAnsi="Arial" w:cs="Arial"/>
          <w:sz w:val="22"/>
          <w:szCs w:val="22"/>
        </w:rPr>
        <w:t>Se suman las utilidades de operación total de las transacciones controladas analizadas.</w:t>
      </w:r>
    </w:p>
    <w:p w14:paraId="5C2321A8" w14:textId="77777777" w:rsidR="00D07AAE" w:rsidRPr="00752B2C" w:rsidRDefault="00D07AAE" w:rsidP="00D76371">
      <w:pPr>
        <w:pStyle w:val="ListParagraph"/>
        <w:numPr>
          <w:ilvl w:val="0"/>
          <w:numId w:val="2"/>
        </w:numPr>
        <w:ind w:left="709"/>
        <w:jc w:val="left"/>
        <w:rPr>
          <w:rFonts w:ascii="Arial" w:hAnsi="Arial" w:cs="Arial"/>
          <w:sz w:val="22"/>
          <w:szCs w:val="22"/>
        </w:rPr>
      </w:pPr>
      <w:r w:rsidRPr="00752B2C">
        <w:rPr>
          <w:rFonts w:ascii="Arial" w:hAnsi="Arial" w:cs="Arial"/>
          <w:sz w:val="22"/>
          <w:szCs w:val="22"/>
        </w:rPr>
        <w:t>Se divide la utilidad considerando el valor relativo de la contribución a la obtención de las utilidades globales y las funciones realizadas por cada compañía involucrada en la operación.</w:t>
      </w:r>
    </w:p>
    <w:p w14:paraId="4ACF0C43" w14:textId="77777777" w:rsidR="00D07AAE" w:rsidRPr="00752B2C" w:rsidRDefault="00D07AAE" w:rsidP="00D76371">
      <w:pPr>
        <w:rPr>
          <w:rFonts w:ascii="Arial" w:hAnsi="Arial" w:cs="Arial"/>
        </w:rPr>
      </w:pPr>
    </w:p>
    <w:bookmarkStart w:id="2" w:name="_Toc494308747"/>
    <w:p w14:paraId="04164534" w14:textId="77777777" w:rsidR="00D07AAE" w:rsidRPr="00752B2C" w:rsidRDefault="00D07AAE" w:rsidP="00D76371">
      <w:pPr>
        <w:pStyle w:val="Heading3"/>
        <w:numPr>
          <w:ilvl w:val="0"/>
          <w:numId w:val="0"/>
        </w:numPr>
        <w:ind w:left="720" w:hanging="720"/>
        <w:rPr>
          <w:rFonts w:ascii="Arial" w:hAnsi="Arial" w:cs="Arial"/>
          <w:b/>
          <w:sz w:val="22"/>
          <w:szCs w:val="22"/>
        </w:rPr>
      </w:pPr>
      <w:r w:rsidRPr="00752B2C">
        <w:rPr>
          <w:rFonts w:ascii="Arial" w:hAnsi="Arial" w:cs="Arial"/>
          <w:b/>
          <w:sz w:val="22"/>
          <w:szCs w:val="22"/>
        </w:rPr>
        <w:lastRenderedPageBreak/>
        <w:fldChar w:fldCharType="begin"/>
      </w:r>
      <w:r w:rsidRPr="00752B2C">
        <w:rPr>
          <w:rFonts w:ascii="Arial" w:hAnsi="Arial" w:cs="Arial"/>
          <w:b/>
          <w:sz w:val="22"/>
          <w:szCs w:val="22"/>
        </w:rPr>
        <w:instrText xml:space="preserve"> HYPERLINK  \l "_Glosario" </w:instrText>
      </w:r>
      <w:r w:rsidRPr="00752B2C">
        <w:rPr>
          <w:rFonts w:ascii="Arial" w:hAnsi="Arial" w:cs="Arial"/>
          <w:b/>
          <w:sz w:val="22"/>
          <w:szCs w:val="22"/>
        </w:rPr>
        <w:fldChar w:fldCharType="separate"/>
      </w:r>
      <w:bookmarkStart w:id="3" w:name="_Toc507575088"/>
      <w:r w:rsidRPr="00752B2C">
        <w:rPr>
          <w:rStyle w:val="Hyperlink"/>
          <w:rFonts w:ascii="Arial" w:hAnsi="Arial" w:cs="Arial"/>
          <w:b/>
          <w:color w:val="auto"/>
          <w:sz w:val="22"/>
          <w:szCs w:val="22"/>
          <w:u w:val="none"/>
        </w:rPr>
        <w:t>MRPU</w:t>
      </w:r>
      <w:r w:rsidRPr="00752B2C">
        <w:rPr>
          <w:rFonts w:ascii="Arial" w:hAnsi="Arial" w:cs="Arial"/>
          <w:b/>
          <w:sz w:val="22"/>
          <w:szCs w:val="22"/>
        </w:rPr>
        <w:fldChar w:fldCharType="end"/>
      </w:r>
      <w:bookmarkEnd w:id="2"/>
      <w:bookmarkEnd w:id="3"/>
    </w:p>
    <w:p w14:paraId="1D6E9DAB" w14:textId="083F7537" w:rsidR="00D07AAE" w:rsidRPr="00752B2C" w:rsidRDefault="00C350B9" w:rsidP="00D76371">
      <w:pPr>
        <w:rPr>
          <w:rFonts w:ascii="Arial" w:hAnsi="Arial" w:cs="Arial"/>
        </w:rPr>
      </w:pPr>
      <w:r w:rsidRPr="00752B2C">
        <w:rPr>
          <w:rFonts w:ascii="Arial" w:hAnsi="Arial" w:cs="Arial"/>
        </w:rPr>
        <w:br/>
      </w:r>
      <w:r w:rsidR="00D07AAE" w:rsidRPr="00752B2C">
        <w:rPr>
          <w:rFonts w:ascii="Arial" w:hAnsi="Arial" w:cs="Arial"/>
        </w:rPr>
        <w:t xml:space="preserve">Este método es conocido como residual. </w:t>
      </w:r>
    </w:p>
    <w:p w14:paraId="37A36A16" w14:textId="77777777" w:rsidR="00D07AAE" w:rsidRPr="00752B2C" w:rsidRDefault="00D07AAE" w:rsidP="00D76371">
      <w:pPr>
        <w:rPr>
          <w:rFonts w:ascii="Arial" w:hAnsi="Arial" w:cs="Arial"/>
        </w:rPr>
      </w:pPr>
      <w:r w:rsidRPr="00752B2C">
        <w:rPr>
          <w:rFonts w:ascii="Arial" w:hAnsi="Arial" w:cs="Arial"/>
        </w:rPr>
        <w:t xml:space="preserve">Se podrá considerar su aplicación en transacciones donde ambas partes relacionadas aporten activos intangibles valiosos, que deriven en utilidades operativas excedentes para el grupo </w:t>
      </w:r>
      <w:sdt>
        <w:sdtPr>
          <w:rPr>
            <w:rFonts w:ascii="Arial" w:hAnsi="Arial" w:cs="Arial"/>
          </w:rPr>
          <w:id w:val="-576284620"/>
          <w:citation/>
        </w:sdtPr>
        <w:sdtEndPr/>
        <w:sdtContent>
          <w:r w:rsidRPr="00752B2C">
            <w:rPr>
              <w:rFonts w:ascii="Arial" w:hAnsi="Arial" w:cs="Arial"/>
            </w:rPr>
            <w:fldChar w:fldCharType="begin"/>
          </w:r>
          <w:r w:rsidRPr="00752B2C">
            <w:rPr>
              <w:rFonts w:ascii="Arial" w:hAnsi="Arial" w:cs="Arial"/>
            </w:rPr>
            <w:instrText xml:space="preserve"> CITATION Bol13 \l 9226 </w:instrText>
          </w:r>
          <w:r w:rsidRPr="00752B2C">
            <w:rPr>
              <w:rFonts w:ascii="Arial" w:hAnsi="Arial" w:cs="Arial"/>
            </w:rPr>
            <w:fldChar w:fldCharType="separate"/>
          </w:r>
          <w:r w:rsidRPr="00752B2C">
            <w:rPr>
              <w:rFonts w:ascii="Arial" w:hAnsi="Arial" w:cs="Arial"/>
              <w:noProof/>
            </w:rPr>
            <w:t>(Boletín de Investigación de la Comisión Fiscal Internacional , 2013)</w:t>
          </w:r>
          <w:r w:rsidRPr="00752B2C">
            <w:rPr>
              <w:rFonts w:ascii="Arial" w:hAnsi="Arial" w:cs="Arial"/>
            </w:rPr>
            <w:fldChar w:fldCharType="end"/>
          </w:r>
        </w:sdtContent>
      </w:sdt>
      <w:r w:rsidRPr="00752B2C">
        <w:rPr>
          <w:rFonts w:ascii="Arial" w:hAnsi="Arial" w:cs="Arial"/>
        </w:rPr>
        <w:t>, donde:</w:t>
      </w:r>
    </w:p>
    <w:p w14:paraId="132993FA" w14:textId="77777777" w:rsidR="00D07AAE" w:rsidRPr="00752B2C" w:rsidRDefault="00D07AAE" w:rsidP="00D76371">
      <w:pPr>
        <w:rPr>
          <w:rFonts w:ascii="Arial" w:hAnsi="Arial" w:cs="Arial"/>
        </w:rPr>
      </w:pPr>
      <w:r w:rsidRPr="00752B2C">
        <w:rPr>
          <w:rFonts w:ascii="Arial" w:hAnsi="Arial" w:cs="Arial"/>
        </w:rPr>
        <w:t>La utilidad se divide en dos etapas:</w:t>
      </w:r>
    </w:p>
    <w:p w14:paraId="3D1EAA53" w14:textId="77777777" w:rsidR="00D07AAE" w:rsidRPr="00752B2C" w:rsidRDefault="00D07AAE" w:rsidP="00D76371">
      <w:pPr>
        <w:pStyle w:val="ListParagraph"/>
        <w:numPr>
          <w:ilvl w:val="0"/>
          <w:numId w:val="3"/>
        </w:numPr>
        <w:ind w:left="709"/>
        <w:jc w:val="left"/>
        <w:rPr>
          <w:rFonts w:ascii="Arial" w:hAnsi="Arial" w:cs="Arial"/>
          <w:sz w:val="22"/>
          <w:szCs w:val="22"/>
        </w:rPr>
      </w:pPr>
      <w:r w:rsidRPr="00752B2C">
        <w:rPr>
          <w:rFonts w:ascii="Arial" w:hAnsi="Arial" w:cs="Arial"/>
          <w:sz w:val="22"/>
          <w:szCs w:val="22"/>
        </w:rPr>
        <w:t>Se asigna la utilidad mínima conforme a un retorno apropiado para cada una de las compañías involucradas.</w:t>
      </w:r>
    </w:p>
    <w:p w14:paraId="5C78F716" w14:textId="77777777" w:rsidR="00D07AAE" w:rsidRPr="00752B2C" w:rsidRDefault="00D07AAE" w:rsidP="00D76371">
      <w:pPr>
        <w:pStyle w:val="ListParagraph"/>
        <w:numPr>
          <w:ilvl w:val="0"/>
          <w:numId w:val="3"/>
        </w:numPr>
        <w:ind w:left="709"/>
        <w:jc w:val="left"/>
        <w:rPr>
          <w:rFonts w:ascii="Arial" w:hAnsi="Arial" w:cs="Arial"/>
          <w:sz w:val="22"/>
          <w:szCs w:val="22"/>
        </w:rPr>
      </w:pPr>
      <w:r w:rsidRPr="00752B2C">
        <w:rPr>
          <w:rFonts w:ascii="Arial" w:hAnsi="Arial" w:cs="Arial"/>
          <w:sz w:val="22"/>
          <w:szCs w:val="22"/>
        </w:rPr>
        <w:t>La utilidad residual, se distribuye considerando activos intangibles involucrados en la operación.</w:t>
      </w:r>
    </w:p>
    <w:p w14:paraId="27ABE507" w14:textId="77777777" w:rsidR="00D07AAE" w:rsidRPr="00752B2C" w:rsidRDefault="00D07AAE" w:rsidP="00D76371">
      <w:pPr>
        <w:pStyle w:val="ListParagraph"/>
        <w:ind w:left="709"/>
        <w:jc w:val="left"/>
        <w:rPr>
          <w:rFonts w:ascii="Arial" w:hAnsi="Arial" w:cs="Arial"/>
          <w:sz w:val="22"/>
          <w:szCs w:val="22"/>
        </w:rPr>
      </w:pPr>
    </w:p>
    <w:p w14:paraId="087E15D0" w14:textId="77777777" w:rsidR="00D07AAE" w:rsidRPr="00752B2C" w:rsidRDefault="00D07AAE" w:rsidP="00D76371">
      <w:pPr>
        <w:rPr>
          <w:rFonts w:ascii="Arial" w:hAnsi="Arial" w:cs="Arial"/>
        </w:rPr>
      </w:pPr>
      <w:r w:rsidRPr="00752B2C">
        <w:rPr>
          <w:rFonts w:ascii="Arial" w:hAnsi="Arial" w:cs="Arial"/>
        </w:rPr>
        <w:t xml:space="preserve">En este método también se emplean intangibles involucrados en la distribución. </w:t>
      </w:r>
    </w:p>
    <w:p w14:paraId="68177EFD" w14:textId="77777777" w:rsidR="00D07AAE" w:rsidRPr="00752B2C" w:rsidRDefault="00D07AAE" w:rsidP="00D76371">
      <w:pPr>
        <w:rPr>
          <w:rFonts w:ascii="Arial" w:hAnsi="Arial" w:cs="Arial"/>
        </w:rPr>
      </w:pPr>
      <w:r w:rsidRPr="00752B2C">
        <w:rPr>
          <w:rFonts w:ascii="Arial" w:hAnsi="Arial" w:cs="Arial"/>
        </w:rPr>
        <w:t>Tenga presente que la utilidad residual se obtiene al determinar un valor relativo a los bienes tangibles o intangibles de cada una de las partes, el valor relativo se puede obtener sobre los gastos actuales o capitalizados durante un periodo de 5 años.</w:t>
      </w:r>
    </w:p>
    <w:p w14:paraId="022D3701" w14:textId="77777777" w:rsidR="00D76371" w:rsidRDefault="00D76371" w:rsidP="00D76371">
      <w:pPr>
        <w:pStyle w:val="Heading3"/>
        <w:numPr>
          <w:ilvl w:val="0"/>
          <w:numId w:val="0"/>
        </w:numPr>
        <w:ind w:left="720" w:hanging="720"/>
        <w:rPr>
          <w:rFonts w:ascii="Arial" w:hAnsi="Arial" w:cs="Arial"/>
          <w:b/>
          <w:sz w:val="22"/>
          <w:szCs w:val="22"/>
        </w:rPr>
      </w:pPr>
      <w:bookmarkStart w:id="4" w:name="_Toc494308748"/>
      <w:bookmarkStart w:id="5" w:name="_Toc507575089"/>
    </w:p>
    <w:p w14:paraId="53CC3683" w14:textId="77777777" w:rsidR="00752B2C" w:rsidRPr="00752B2C" w:rsidRDefault="00752B2C" w:rsidP="00D76371">
      <w:pPr>
        <w:pStyle w:val="Heading3"/>
        <w:numPr>
          <w:ilvl w:val="0"/>
          <w:numId w:val="0"/>
        </w:numPr>
        <w:ind w:left="720" w:hanging="720"/>
        <w:rPr>
          <w:rFonts w:ascii="Arial" w:hAnsi="Arial" w:cs="Arial"/>
          <w:b/>
          <w:sz w:val="22"/>
          <w:szCs w:val="22"/>
        </w:rPr>
      </w:pPr>
      <w:r w:rsidRPr="00752B2C">
        <w:rPr>
          <w:rFonts w:ascii="Arial" w:hAnsi="Arial" w:cs="Arial"/>
          <w:b/>
          <w:sz w:val="22"/>
          <w:szCs w:val="22"/>
        </w:rPr>
        <w:t>Distribución de capital empleado</w:t>
      </w:r>
      <w:bookmarkEnd w:id="4"/>
      <w:bookmarkEnd w:id="5"/>
    </w:p>
    <w:p w14:paraId="5C543168" w14:textId="77777777" w:rsidR="00752B2C" w:rsidRPr="00752B2C" w:rsidRDefault="00752B2C" w:rsidP="00D76371">
      <w:pPr>
        <w:rPr>
          <w:rFonts w:ascii="Arial" w:hAnsi="Arial" w:cs="Arial"/>
        </w:rPr>
      </w:pPr>
    </w:p>
    <w:p w14:paraId="61B91740" w14:textId="7856E033" w:rsidR="00752B2C" w:rsidRPr="00752B2C" w:rsidRDefault="00752B2C" w:rsidP="00D76371">
      <w:pPr>
        <w:rPr>
          <w:rFonts w:ascii="Arial" w:hAnsi="Arial" w:cs="Arial"/>
        </w:rPr>
      </w:pPr>
      <w:r w:rsidRPr="00752B2C">
        <w:rPr>
          <w:rFonts w:ascii="Arial" w:hAnsi="Arial" w:cs="Arial"/>
        </w:rPr>
        <w:t xml:space="preserve">Se caracteriza por tener un nivel de riesgo igual en cuanto al capital y se distribuyen las utilidades o pérdidas con base al capital empleado por los contribuyentes que participan en la actividad comercial de la empresa. Cuando se habla de riesgo igual, hace referencia a que la ganancia o pérdida esta directamente relacionada al de otro contribuyente, es decir, toman </w:t>
      </w:r>
      <w:r w:rsidR="00D76371">
        <w:rPr>
          <w:rFonts w:ascii="Arial" w:hAnsi="Arial" w:cs="Arial"/>
        </w:rPr>
        <w:t xml:space="preserve">un nivel de riesgo por igual.  </w:t>
      </w:r>
    </w:p>
    <w:p w14:paraId="14BDEBA3" w14:textId="77777777" w:rsidR="00752B2C" w:rsidRPr="00752B2C" w:rsidRDefault="00752B2C" w:rsidP="00D76371">
      <w:pPr>
        <w:rPr>
          <w:rFonts w:ascii="Arial" w:hAnsi="Arial" w:cs="Arial"/>
        </w:rPr>
      </w:pPr>
      <w:r w:rsidRPr="00752B2C">
        <w:rPr>
          <w:rFonts w:ascii="Arial" w:hAnsi="Arial" w:cs="Arial"/>
        </w:rPr>
        <w:t>El valor de los tangibles se puede medir al valor razonable o el costo capitalizado de desarrollo menos la amortización que depende de la vida útil de cada tangible.</w:t>
      </w:r>
    </w:p>
    <w:p w14:paraId="55058995" w14:textId="77777777" w:rsidR="00752B2C" w:rsidRPr="00752B2C" w:rsidRDefault="00752B2C" w:rsidP="00D76371">
      <w:pPr>
        <w:rPr>
          <w:rFonts w:ascii="Arial" w:hAnsi="Arial" w:cs="Arial"/>
        </w:rPr>
      </w:pPr>
      <w:bookmarkStart w:id="6" w:name="_Toc494308749"/>
    </w:p>
    <w:p w14:paraId="3CC9156A" w14:textId="37E3EA35" w:rsidR="00752B2C" w:rsidRDefault="00752B2C" w:rsidP="00D76371">
      <w:pPr>
        <w:pStyle w:val="Heading3"/>
        <w:numPr>
          <w:ilvl w:val="0"/>
          <w:numId w:val="0"/>
        </w:numPr>
        <w:ind w:left="720" w:hanging="720"/>
        <w:rPr>
          <w:rFonts w:ascii="Arial" w:hAnsi="Arial" w:cs="Arial"/>
          <w:b/>
          <w:sz w:val="22"/>
          <w:szCs w:val="22"/>
        </w:rPr>
      </w:pPr>
      <w:bookmarkStart w:id="7" w:name="_Toc507575090"/>
      <w:r w:rsidRPr="00752B2C">
        <w:rPr>
          <w:rFonts w:ascii="Arial" w:hAnsi="Arial" w:cs="Arial"/>
          <w:b/>
          <w:sz w:val="22"/>
          <w:szCs w:val="22"/>
        </w:rPr>
        <w:t>PDM</w:t>
      </w:r>
      <w:bookmarkEnd w:id="6"/>
      <w:bookmarkEnd w:id="7"/>
    </w:p>
    <w:p w14:paraId="3D9CB976" w14:textId="77777777" w:rsidR="00D76371" w:rsidRPr="00D76371" w:rsidRDefault="00D76371" w:rsidP="00D76371"/>
    <w:p w14:paraId="11C0D1EA" w14:textId="1A33ED5E" w:rsidR="00752B2C" w:rsidRPr="00752B2C" w:rsidRDefault="00752B2C" w:rsidP="00D76371">
      <w:pPr>
        <w:rPr>
          <w:rFonts w:ascii="Arial" w:hAnsi="Arial" w:cs="Arial"/>
        </w:rPr>
      </w:pPr>
      <w:r w:rsidRPr="00752B2C">
        <w:rPr>
          <w:rFonts w:ascii="Arial" w:hAnsi="Arial" w:cs="Arial"/>
        </w:rPr>
        <w:t xml:space="preserve">Se logra una distribución de utilidades con base en las utilidades relativas de los contribuyentes no controlados en transacciones y funciones similares a la de los contribuyentes controlados </w:t>
      </w:r>
      <w:sdt>
        <w:sdtPr>
          <w:rPr>
            <w:rFonts w:ascii="Arial" w:hAnsi="Arial" w:cs="Arial"/>
          </w:rPr>
          <w:id w:val="-441689113"/>
          <w:citation/>
        </w:sdtPr>
        <w:sdtContent>
          <w:r w:rsidRPr="00752B2C">
            <w:rPr>
              <w:rFonts w:ascii="Arial" w:hAnsi="Arial" w:cs="Arial"/>
            </w:rPr>
            <w:fldChar w:fldCharType="begin"/>
          </w:r>
          <w:r w:rsidRPr="00752B2C">
            <w:rPr>
              <w:rFonts w:ascii="Arial" w:hAnsi="Arial" w:cs="Arial"/>
            </w:rPr>
            <w:instrText xml:space="preserve">CITATION Bet05 \l 9226 </w:instrText>
          </w:r>
          <w:r w:rsidRPr="00752B2C">
            <w:rPr>
              <w:rFonts w:ascii="Arial" w:hAnsi="Arial" w:cs="Arial"/>
            </w:rPr>
            <w:fldChar w:fldCharType="separate"/>
          </w:r>
          <w:r w:rsidRPr="00752B2C">
            <w:rPr>
              <w:rFonts w:ascii="Arial" w:hAnsi="Arial" w:cs="Arial"/>
              <w:noProof/>
            </w:rPr>
            <w:t>(Bettinger, 2005)</w:t>
          </w:r>
          <w:r w:rsidRPr="00752B2C">
            <w:rPr>
              <w:rFonts w:ascii="Arial" w:hAnsi="Arial" w:cs="Arial"/>
            </w:rPr>
            <w:fldChar w:fldCharType="end"/>
          </w:r>
        </w:sdtContent>
      </w:sdt>
      <w:r w:rsidR="00D76371">
        <w:rPr>
          <w:rFonts w:ascii="Arial" w:hAnsi="Arial" w:cs="Arial"/>
        </w:rPr>
        <w:t>.</w:t>
      </w:r>
      <w:bookmarkStart w:id="8" w:name="_GoBack"/>
      <w:bookmarkEnd w:id="8"/>
    </w:p>
    <w:p w14:paraId="2D41A785" w14:textId="77777777" w:rsidR="00752B2C" w:rsidRPr="00752B2C" w:rsidRDefault="00752B2C" w:rsidP="00D76371">
      <w:pPr>
        <w:rPr>
          <w:rFonts w:ascii="Arial" w:hAnsi="Arial" w:cs="Arial"/>
        </w:rPr>
      </w:pPr>
      <w:r w:rsidRPr="00752B2C">
        <w:rPr>
          <w:rFonts w:ascii="Arial" w:hAnsi="Arial" w:cs="Arial"/>
        </w:rPr>
        <w:t xml:space="preserve">No obstante, la metodología de distribución de utilidades puede beneficiar a muchos contribuyentes, pero el requisito de que ambas partes deben tener tangibles valiosos no rutinarios, hace que sea extremadamente difícil de usar. Sin embargo, el método puede ser útil cuando las funciones y los tangibles del contribuyente son únicos, lo que provoca que otros métodos basados en transferencias de tangibles no sean aplicables. </w:t>
      </w:r>
      <w:sdt>
        <w:sdtPr>
          <w:rPr>
            <w:rFonts w:ascii="Arial" w:hAnsi="Arial" w:cs="Arial"/>
          </w:rPr>
          <w:id w:val="811606898"/>
          <w:citation/>
        </w:sdtPr>
        <w:sdtContent>
          <w:r w:rsidRPr="00752B2C">
            <w:rPr>
              <w:rFonts w:ascii="Arial" w:hAnsi="Arial" w:cs="Arial"/>
            </w:rPr>
            <w:fldChar w:fldCharType="begin"/>
          </w:r>
          <w:r w:rsidRPr="00752B2C">
            <w:rPr>
              <w:rFonts w:ascii="Arial" w:hAnsi="Arial" w:cs="Arial"/>
            </w:rPr>
            <w:instrText xml:space="preserve">CITATION Bet05 \l 9226 </w:instrText>
          </w:r>
          <w:r w:rsidRPr="00752B2C">
            <w:rPr>
              <w:rFonts w:ascii="Arial" w:hAnsi="Arial" w:cs="Arial"/>
            </w:rPr>
            <w:fldChar w:fldCharType="separate"/>
          </w:r>
          <w:r w:rsidRPr="00752B2C">
            <w:rPr>
              <w:rFonts w:ascii="Arial" w:hAnsi="Arial" w:cs="Arial"/>
              <w:noProof/>
            </w:rPr>
            <w:t>(Bettinger, 2005)</w:t>
          </w:r>
          <w:r w:rsidRPr="00752B2C">
            <w:rPr>
              <w:rFonts w:ascii="Arial" w:hAnsi="Arial" w:cs="Arial"/>
            </w:rPr>
            <w:fldChar w:fldCharType="end"/>
          </w:r>
        </w:sdtContent>
      </w:sdt>
      <w:r w:rsidRPr="00752B2C">
        <w:rPr>
          <w:rFonts w:ascii="Arial" w:hAnsi="Arial" w:cs="Arial"/>
        </w:rPr>
        <w:t xml:space="preserve">. </w:t>
      </w:r>
    </w:p>
    <w:p w14:paraId="686F931D" w14:textId="77777777" w:rsidR="00EB75BF" w:rsidRPr="00752B2C" w:rsidRDefault="00EB75BF" w:rsidP="00D76371">
      <w:pPr>
        <w:rPr>
          <w:rFonts w:ascii="Arial" w:hAnsi="Arial" w:cs="Arial"/>
          <w:b/>
        </w:rPr>
      </w:pPr>
    </w:p>
    <w:p w14:paraId="1B6BAC42" w14:textId="77777777" w:rsidR="00EB75BF" w:rsidRPr="00752B2C" w:rsidRDefault="00EB75BF" w:rsidP="00D76371">
      <w:pPr>
        <w:rPr>
          <w:rFonts w:ascii="Arial" w:hAnsi="Arial" w:cs="Arial"/>
          <w:b/>
        </w:rPr>
      </w:pPr>
      <w:bookmarkStart w:id="9" w:name="_Toc494308750"/>
      <w:bookmarkStart w:id="10" w:name="_Toc507575091"/>
      <w:r w:rsidRPr="00752B2C">
        <w:rPr>
          <w:rFonts w:ascii="Arial" w:hAnsi="Arial" w:cs="Arial"/>
          <w:b/>
        </w:rPr>
        <w:lastRenderedPageBreak/>
        <w:t>Otros métodos</w:t>
      </w:r>
      <w:bookmarkEnd w:id="9"/>
      <w:bookmarkEnd w:id="10"/>
      <w:r w:rsidRPr="00752B2C">
        <w:rPr>
          <w:rFonts w:ascii="Arial" w:hAnsi="Arial" w:cs="Arial"/>
          <w:b/>
        </w:rPr>
        <w:t xml:space="preserve"> </w:t>
      </w:r>
    </w:p>
    <w:p w14:paraId="18592D93" w14:textId="058073F5" w:rsidR="00EB75BF" w:rsidRPr="00752B2C" w:rsidRDefault="00EB75BF" w:rsidP="00D76371">
      <w:pPr>
        <w:rPr>
          <w:rFonts w:ascii="Arial" w:hAnsi="Arial" w:cs="Arial"/>
        </w:rPr>
      </w:pPr>
      <w:r w:rsidRPr="00752B2C">
        <w:rPr>
          <w:rFonts w:ascii="Arial" w:hAnsi="Arial" w:cs="Arial"/>
        </w:rPr>
        <w:t>Existen varios métodos y formas de distribución de utilidades, entre las que se encuentran:</w:t>
      </w:r>
    </w:p>
    <w:p w14:paraId="30362710" w14:textId="77777777" w:rsidR="00EB75BF" w:rsidRPr="00752B2C" w:rsidRDefault="00EB75BF" w:rsidP="00D76371">
      <w:pPr>
        <w:pStyle w:val="ListParagraph"/>
        <w:numPr>
          <w:ilvl w:val="0"/>
          <w:numId w:val="5"/>
        </w:numPr>
        <w:jc w:val="left"/>
        <w:rPr>
          <w:rFonts w:ascii="Arial" w:hAnsi="Arial" w:cs="Arial"/>
          <w:sz w:val="22"/>
          <w:szCs w:val="22"/>
        </w:rPr>
      </w:pPr>
      <w:r w:rsidRPr="00752B2C">
        <w:rPr>
          <w:rFonts w:ascii="Arial" w:hAnsi="Arial" w:cs="Arial"/>
          <w:sz w:val="22"/>
          <w:szCs w:val="22"/>
        </w:rPr>
        <w:t>Por partes iguales.</w:t>
      </w:r>
    </w:p>
    <w:p w14:paraId="28854F4E" w14:textId="77777777" w:rsidR="00EB75BF" w:rsidRPr="00752B2C" w:rsidRDefault="00EB75BF" w:rsidP="00D76371">
      <w:pPr>
        <w:pStyle w:val="ListParagraph"/>
        <w:numPr>
          <w:ilvl w:val="0"/>
          <w:numId w:val="5"/>
        </w:numPr>
        <w:jc w:val="left"/>
        <w:rPr>
          <w:rFonts w:ascii="Arial" w:hAnsi="Arial" w:cs="Arial"/>
          <w:sz w:val="22"/>
          <w:szCs w:val="22"/>
        </w:rPr>
      </w:pPr>
      <w:r w:rsidRPr="00752B2C">
        <w:rPr>
          <w:rFonts w:ascii="Arial" w:hAnsi="Arial" w:cs="Arial"/>
          <w:sz w:val="22"/>
          <w:szCs w:val="22"/>
        </w:rPr>
        <w:t>Dependiendo del capital aportado.</w:t>
      </w:r>
    </w:p>
    <w:p w14:paraId="1D40298C" w14:textId="77777777" w:rsidR="00EB75BF" w:rsidRPr="00752B2C" w:rsidRDefault="00EB75BF" w:rsidP="00D76371">
      <w:pPr>
        <w:pStyle w:val="ListParagraph"/>
        <w:numPr>
          <w:ilvl w:val="0"/>
          <w:numId w:val="5"/>
        </w:numPr>
        <w:jc w:val="left"/>
        <w:rPr>
          <w:rFonts w:ascii="Arial" w:hAnsi="Arial" w:cs="Arial"/>
          <w:sz w:val="22"/>
          <w:szCs w:val="22"/>
        </w:rPr>
      </w:pPr>
      <w:r w:rsidRPr="00752B2C">
        <w:rPr>
          <w:rFonts w:ascii="Arial" w:hAnsi="Arial" w:cs="Arial"/>
          <w:sz w:val="22"/>
          <w:szCs w:val="22"/>
        </w:rPr>
        <w:t>De acuerdo con los saldos iniciales del capital aportado.</w:t>
      </w:r>
    </w:p>
    <w:p w14:paraId="41869AE7" w14:textId="77777777" w:rsidR="00EB75BF" w:rsidRPr="00752B2C" w:rsidRDefault="00EB75BF" w:rsidP="00D76371">
      <w:pPr>
        <w:pStyle w:val="ListParagraph"/>
        <w:numPr>
          <w:ilvl w:val="0"/>
          <w:numId w:val="5"/>
        </w:numPr>
        <w:jc w:val="left"/>
        <w:rPr>
          <w:rFonts w:ascii="Arial" w:hAnsi="Arial" w:cs="Arial"/>
          <w:sz w:val="22"/>
          <w:szCs w:val="22"/>
        </w:rPr>
      </w:pPr>
      <w:r w:rsidRPr="00752B2C">
        <w:rPr>
          <w:rFonts w:ascii="Arial" w:hAnsi="Arial" w:cs="Arial"/>
          <w:sz w:val="22"/>
          <w:szCs w:val="22"/>
        </w:rPr>
        <w:t>De acuerdo a los saldos finales.</w:t>
      </w:r>
    </w:p>
    <w:p w14:paraId="63F16EDA" w14:textId="77777777" w:rsidR="00EB75BF" w:rsidRPr="00752B2C" w:rsidRDefault="00EB75BF" w:rsidP="00D76371">
      <w:pPr>
        <w:pStyle w:val="ListParagraph"/>
        <w:numPr>
          <w:ilvl w:val="0"/>
          <w:numId w:val="5"/>
        </w:numPr>
        <w:jc w:val="left"/>
        <w:rPr>
          <w:rFonts w:ascii="Arial" w:hAnsi="Arial" w:cs="Arial"/>
          <w:sz w:val="22"/>
          <w:szCs w:val="22"/>
        </w:rPr>
      </w:pPr>
      <w:r w:rsidRPr="00752B2C">
        <w:rPr>
          <w:rFonts w:ascii="Arial" w:hAnsi="Arial" w:cs="Arial"/>
          <w:sz w:val="22"/>
          <w:szCs w:val="22"/>
        </w:rPr>
        <w:t>De acuerdo con el saldo final de un ejercicio o periodo.</w:t>
      </w:r>
    </w:p>
    <w:p w14:paraId="4036805B" w14:textId="77777777" w:rsidR="00EB75BF" w:rsidRPr="00752B2C" w:rsidRDefault="00EB75BF" w:rsidP="00D76371">
      <w:pPr>
        <w:pStyle w:val="ListParagraph"/>
        <w:numPr>
          <w:ilvl w:val="0"/>
          <w:numId w:val="5"/>
        </w:numPr>
        <w:jc w:val="left"/>
        <w:rPr>
          <w:rFonts w:ascii="Arial" w:hAnsi="Arial" w:cs="Arial"/>
          <w:sz w:val="22"/>
          <w:szCs w:val="22"/>
        </w:rPr>
      </w:pPr>
      <w:r w:rsidRPr="00752B2C">
        <w:rPr>
          <w:rFonts w:ascii="Arial" w:hAnsi="Arial" w:cs="Arial"/>
          <w:sz w:val="22"/>
          <w:szCs w:val="22"/>
        </w:rPr>
        <w:t>Dependiendo de lo estipulado en la escritura pública.</w:t>
      </w:r>
    </w:p>
    <w:p w14:paraId="05E6F0C3" w14:textId="77777777" w:rsidR="00EB75BF" w:rsidRPr="00752B2C" w:rsidRDefault="00EB75BF" w:rsidP="00D76371">
      <w:pPr>
        <w:pStyle w:val="ListParagraph"/>
        <w:numPr>
          <w:ilvl w:val="0"/>
          <w:numId w:val="5"/>
        </w:numPr>
        <w:jc w:val="left"/>
        <w:rPr>
          <w:rFonts w:ascii="Arial" w:hAnsi="Arial" w:cs="Arial"/>
          <w:sz w:val="22"/>
          <w:szCs w:val="22"/>
        </w:rPr>
      </w:pPr>
      <w:r w:rsidRPr="00752B2C">
        <w:rPr>
          <w:rFonts w:ascii="Arial" w:hAnsi="Arial" w:cs="Arial"/>
          <w:sz w:val="22"/>
          <w:szCs w:val="22"/>
        </w:rPr>
        <w:t>Teniendo en cuenta la cantidad de tiempo laborado o la cantidad de capital aportado.</w:t>
      </w:r>
    </w:p>
    <w:p w14:paraId="353901AF" w14:textId="77777777" w:rsidR="00D07AAE" w:rsidRPr="00752B2C" w:rsidRDefault="00D07AAE" w:rsidP="00D76371"/>
    <w:p w14:paraId="670278CE" w14:textId="77777777" w:rsidR="00D07AAE" w:rsidRPr="00752B2C" w:rsidRDefault="00D07AAE" w:rsidP="00D76371">
      <w:pPr>
        <w:rPr>
          <w:rFonts w:ascii="Arial" w:hAnsi="Arial" w:cs="Arial"/>
        </w:rPr>
      </w:pPr>
    </w:p>
    <w:p w14:paraId="64E155B1" w14:textId="77777777" w:rsidR="00D07AAE" w:rsidRPr="00752B2C" w:rsidRDefault="00D07AAE" w:rsidP="00D76371"/>
    <w:sectPr w:rsidR="00D07AAE" w:rsidRPr="00752B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07BE"/>
    <w:multiLevelType w:val="hybridMultilevel"/>
    <w:tmpl w:val="4356A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4127A1D"/>
    <w:multiLevelType w:val="hybridMultilevel"/>
    <w:tmpl w:val="DCF68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62502D0"/>
    <w:multiLevelType w:val="hybridMultilevel"/>
    <w:tmpl w:val="A41EA15E"/>
    <w:lvl w:ilvl="0" w:tplc="240A0001">
      <w:start w:val="1"/>
      <w:numFmt w:val="bullet"/>
      <w:lvlText w:val=""/>
      <w:lvlJc w:val="left"/>
      <w:pPr>
        <w:ind w:left="1509" w:hanging="360"/>
      </w:pPr>
      <w:rPr>
        <w:rFonts w:ascii="Symbol" w:hAnsi="Symbol" w:hint="default"/>
      </w:rPr>
    </w:lvl>
    <w:lvl w:ilvl="1" w:tplc="240A0003" w:tentative="1">
      <w:start w:val="1"/>
      <w:numFmt w:val="bullet"/>
      <w:lvlText w:val="o"/>
      <w:lvlJc w:val="left"/>
      <w:pPr>
        <w:ind w:left="2229" w:hanging="360"/>
      </w:pPr>
      <w:rPr>
        <w:rFonts w:ascii="Courier New" w:hAnsi="Courier New" w:cs="Courier New" w:hint="default"/>
      </w:rPr>
    </w:lvl>
    <w:lvl w:ilvl="2" w:tplc="240A0005" w:tentative="1">
      <w:start w:val="1"/>
      <w:numFmt w:val="bullet"/>
      <w:lvlText w:val=""/>
      <w:lvlJc w:val="left"/>
      <w:pPr>
        <w:ind w:left="2949" w:hanging="360"/>
      </w:pPr>
      <w:rPr>
        <w:rFonts w:ascii="Wingdings" w:hAnsi="Wingdings" w:hint="default"/>
      </w:rPr>
    </w:lvl>
    <w:lvl w:ilvl="3" w:tplc="240A0001" w:tentative="1">
      <w:start w:val="1"/>
      <w:numFmt w:val="bullet"/>
      <w:lvlText w:val=""/>
      <w:lvlJc w:val="left"/>
      <w:pPr>
        <w:ind w:left="3669" w:hanging="360"/>
      </w:pPr>
      <w:rPr>
        <w:rFonts w:ascii="Symbol" w:hAnsi="Symbol" w:hint="default"/>
      </w:rPr>
    </w:lvl>
    <w:lvl w:ilvl="4" w:tplc="240A0003" w:tentative="1">
      <w:start w:val="1"/>
      <w:numFmt w:val="bullet"/>
      <w:lvlText w:val="o"/>
      <w:lvlJc w:val="left"/>
      <w:pPr>
        <w:ind w:left="4389" w:hanging="360"/>
      </w:pPr>
      <w:rPr>
        <w:rFonts w:ascii="Courier New" w:hAnsi="Courier New" w:cs="Courier New" w:hint="default"/>
      </w:rPr>
    </w:lvl>
    <w:lvl w:ilvl="5" w:tplc="240A0005" w:tentative="1">
      <w:start w:val="1"/>
      <w:numFmt w:val="bullet"/>
      <w:lvlText w:val=""/>
      <w:lvlJc w:val="left"/>
      <w:pPr>
        <w:ind w:left="5109" w:hanging="360"/>
      </w:pPr>
      <w:rPr>
        <w:rFonts w:ascii="Wingdings" w:hAnsi="Wingdings" w:hint="default"/>
      </w:rPr>
    </w:lvl>
    <w:lvl w:ilvl="6" w:tplc="240A0001" w:tentative="1">
      <w:start w:val="1"/>
      <w:numFmt w:val="bullet"/>
      <w:lvlText w:val=""/>
      <w:lvlJc w:val="left"/>
      <w:pPr>
        <w:ind w:left="5829" w:hanging="360"/>
      </w:pPr>
      <w:rPr>
        <w:rFonts w:ascii="Symbol" w:hAnsi="Symbol" w:hint="default"/>
      </w:rPr>
    </w:lvl>
    <w:lvl w:ilvl="7" w:tplc="240A0003" w:tentative="1">
      <w:start w:val="1"/>
      <w:numFmt w:val="bullet"/>
      <w:lvlText w:val="o"/>
      <w:lvlJc w:val="left"/>
      <w:pPr>
        <w:ind w:left="6549" w:hanging="360"/>
      </w:pPr>
      <w:rPr>
        <w:rFonts w:ascii="Courier New" w:hAnsi="Courier New" w:cs="Courier New" w:hint="default"/>
      </w:rPr>
    </w:lvl>
    <w:lvl w:ilvl="8" w:tplc="240A0005" w:tentative="1">
      <w:start w:val="1"/>
      <w:numFmt w:val="bullet"/>
      <w:lvlText w:val=""/>
      <w:lvlJc w:val="left"/>
      <w:pPr>
        <w:ind w:left="7269" w:hanging="360"/>
      </w:pPr>
      <w:rPr>
        <w:rFonts w:ascii="Wingdings" w:hAnsi="Wingdings" w:hint="default"/>
      </w:rPr>
    </w:lvl>
  </w:abstractNum>
  <w:abstractNum w:abstractNumId="3">
    <w:nsid w:val="65763A62"/>
    <w:multiLevelType w:val="multilevel"/>
    <w:tmpl w:val="C9DC72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686944BE"/>
    <w:multiLevelType w:val="hybridMultilevel"/>
    <w:tmpl w:val="017C6ED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AE"/>
    <w:rsid w:val="006B0488"/>
    <w:rsid w:val="00752B2C"/>
    <w:rsid w:val="008F66DE"/>
    <w:rsid w:val="00C350B9"/>
    <w:rsid w:val="00C90C44"/>
    <w:rsid w:val="00D07AAE"/>
    <w:rsid w:val="00D76371"/>
    <w:rsid w:val="00EB75BF"/>
    <w:rsid w:val="00F5056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CD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07AAE"/>
    <w:pPr>
      <w:keepNext/>
      <w:keepLines/>
      <w:numPr>
        <w:numId w:val="1"/>
      </w:numPr>
      <w:spacing w:before="480" w:after="0" w:line="240" w:lineRule="auto"/>
      <w:outlineLvl w:val="0"/>
    </w:pPr>
    <w:rPr>
      <w:rFonts w:ascii="Times New Roman" w:eastAsiaTheme="majorEastAsia" w:hAnsi="Times New Roman" w:cstheme="majorBidi"/>
      <w:b/>
      <w:bCs/>
      <w:sz w:val="24"/>
      <w:szCs w:val="32"/>
      <w:lang w:eastAsia="es-CO"/>
    </w:rPr>
  </w:style>
  <w:style w:type="paragraph" w:styleId="Heading2">
    <w:name w:val="heading 2"/>
    <w:basedOn w:val="Normal"/>
    <w:next w:val="Normal"/>
    <w:link w:val="Heading2Char"/>
    <w:autoRedefine/>
    <w:uiPriority w:val="9"/>
    <w:unhideWhenUsed/>
    <w:qFormat/>
    <w:rsid w:val="00D07AAE"/>
    <w:pPr>
      <w:keepNext/>
      <w:keepLines/>
      <w:numPr>
        <w:ilvl w:val="1"/>
        <w:numId w:val="1"/>
      </w:numPr>
      <w:spacing w:before="200" w:after="0" w:line="240" w:lineRule="auto"/>
      <w:outlineLvl w:val="1"/>
    </w:pPr>
    <w:rPr>
      <w:rFonts w:ascii="Times New Roman" w:eastAsiaTheme="majorEastAsia" w:hAnsi="Times New Roman" w:cstheme="majorBidi"/>
      <w:b/>
      <w:bCs/>
      <w:sz w:val="24"/>
      <w:szCs w:val="26"/>
      <w:lang w:eastAsia="es-CO"/>
    </w:rPr>
  </w:style>
  <w:style w:type="paragraph" w:styleId="Heading3">
    <w:name w:val="heading 3"/>
    <w:basedOn w:val="Normal"/>
    <w:next w:val="Normal"/>
    <w:link w:val="Heading3Char"/>
    <w:uiPriority w:val="9"/>
    <w:unhideWhenUsed/>
    <w:qFormat/>
    <w:rsid w:val="00D07AAE"/>
    <w:pPr>
      <w:keepNext/>
      <w:keepLines/>
      <w:numPr>
        <w:ilvl w:val="2"/>
        <w:numId w:val="1"/>
      </w:numPr>
      <w:spacing w:before="200" w:after="0" w:line="240" w:lineRule="auto"/>
      <w:outlineLvl w:val="2"/>
    </w:pPr>
    <w:rPr>
      <w:rFonts w:ascii="Times New Roman" w:eastAsiaTheme="majorEastAsia" w:hAnsi="Times New Roman" w:cstheme="majorBidi"/>
      <w:bCs/>
      <w:sz w:val="24"/>
      <w:szCs w:val="20"/>
      <w:lang w:eastAsia="es-CO"/>
    </w:rPr>
  </w:style>
  <w:style w:type="paragraph" w:styleId="Heading4">
    <w:name w:val="heading 4"/>
    <w:basedOn w:val="Normal"/>
    <w:next w:val="Normal"/>
    <w:link w:val="Heading4Char"/>
    <w:uiPriority w:val="9"/>
    <w:unhideWhenUsed/>
    <w:qFormat/>
    <w:rsid w:val="00D07AAE"/>
    <w:pPr>
      <w:keepNext/>
      <w:keepLines/>
      <w:numPr>
        <w:ilvl w:val="3"/>
        <w:numId w:val="1"/>
      </w:numPr>
      <w:spacing w:before="200" w:after="0" w:line="240" w:lineRule="auto"/>
      <w:jc w:val="both"/>
      <w:outlineLvl w:val="3"/>
    </w:pPr>
    <w:rPr>
      <w:rFonts w:asciiTheme="majorHAnsi" w:eastAsiaTheme="majorEastAsia" w:hAnsiTheme="majorHAnsi" w:cstheme="majorBidi"/>
      <w:bCs/>
      <w:i/>
      <w:iCs/>
      <w:sz w:val="24"/>
      <w:szCs w:val="20"/>
      <w:lang w:eastAsia="es-CO"/>
    </w:rPr>
  </w:style>
  <w:style w:type="paragraph" w:styleId="Heading5">
    <w:name w:val="heading 5"/>
    <w:basedOn w:val="Normal"/>
    <w:next w:val="Normal"/>
    <w:link w:val="Heading5Char"/>
    <w:uiPriority w:val="9"/>
    <w:semiHidden/>
    <w:unhideWhenUsed/>
    <w:qFormat/>
    <w:rsid w:val="00D07AAE"/>
    <w:pPr>
      <w:keepNext/>
      <w:keepLines/>
      <w:numPr>
        <w:ilvl w:val="4"/>
        <w:numId w:val="1"/>
      </w:numPr>
      <w:spacing w:before="200" w:after="0" w:line="240" w:lineRule="auto"/>
      <w:jc w:val="both"/>
      <w:outlineLvl w:val="4"/>
    </w:pPr>
    <w:rPr>
      <w:rFonts w:asciiTheme="majorHAnsi" w:eastAsiaTheme="majorEastAsia" w:hAnsiTheme="majorHAnsi" w:cstheme="majorBidi"/>
      <w:color w:val="1F3763" w:themeColor="accent1" w:themeShade="7F"/>
      <w:sz w:val="24"/>
      <w:szCs w:val="20"/>
      <w:lang w:eastAsia="es-CO"/>
    </w:rPr>
  </w:style>
  <w:style w:type="paragraph" w:styleId="Heading6">
    <w:name w:val="heading 6"/>
    <w:basedOn w:val="Normal"/>
    <w:next w:val="Normal"/>
    <w:link w:val="Heading6Char"/>
    <w:uiPriority w:val="9"/>
    <w:semiHidden/>
    <w:unhideWhenUsed/>
    <w:qFormat/>
    <w:rsid w:val="00D07AAE"/>
    <w:pPr>
      <w:keepNext/>
      <w:keepLines/>
      <w:numPr>
        <w:ilvl w:val="5"/>
        <w:numId w:val="1"/>
      </w:numPr>
      <w:spacing w:before="200" w:after="0" w:line="240" w:lineRule="auto"/>
      <w:jc w:val="both"/>
      <w:outlineLvl w:val="5"/>
    </w:pPr>
    <w:rPr>
      <w:rFonts w:asciiTheme="majorHAnsi" w:eastAsiaTheme="majorEastAsia" w:hAnsiTheme="majorHAnsi" w:cstheme="majorBidi"/>
      <w:i/>
      <w:iCs/>
      <w:color w:val="1F3763" w:themeColor="accent1" w:themeShade="7F"/>
      <w:sz w:val="24"/>
      <w:szCs w:val="20"/>
      <w:lang w:eastAsia="es-CO"/>
    </w:rPr>
  </w:style>
  <w:style w:type="paragraph" w:styleId="Heading7">
    <w:name w:val="heading 7"/>
    <w:basedOn w:val="Normal"/>
    <w:next w:val="Normal"/>
    <w:link w:val="Heading7Char"/>
    <w:uiPriority w:val="9"/>
    <w:semiHidden/>
    <w:unhideWhenUsed/>
    <w:qFormat/>
    <w:rsid w:val="00D07AAE"/>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eastAsia="es-CO"/>
    </w:rPr>
  </w:style>
  <w:style w:type="paragraph" w:styleId="Heading8">
    <w:name w:val="heading 8"/>
    <w:basedOn w:val="Normal"/>
    <w:next w:val="Normal"/>
    <w:link w:val="Heading8Char"/>
    <w:uiPriority w:val="9"/>
    <w:semiHidden/>
    <w:unhideWhenUsed/>
    <w:qFormat/>
    <w:rsid w:val="00D07AAE"/>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es-CO"/>
    </w:rPr>
  </w:style>
  <w:style w:type="paragraph" w:styleId="Heading9">
    <w:name w:val="heading 9"/>
    <w:basedOn w:val="Normal"/>
    <w:next w:val="Normal"/>
    <w:link w:val="Heading9Char"/>
    <w:uiPriority w:val="9"/>
    <w:semiHidden/>
    <w:unhideWhenUsed/>
    <w:qFormat/>
    <w:rsid w:val="00D07AAE"/>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AAE"/>
    <w:rPr>
      <w:rFonts w:ascii="Times New Roman" w:eastAsiaTheme="majorEastAsia" w:hAnsi="Times New Roman" w:cstheme="majorBidi"/>
      <w:b/>
      <w:bCs/>
      <w:sz w:val="24"/>
      <w:szCs w:val="32"/>
      <w:lang w:eastAsia="es-CO"/>
    </w:rPr>
  </w:style>
  <w:style w:type="character" w:customStyle="1" w:styleId="Heading2Char">
    <w:name w:val="Heading 2 Char"/>
    <w:basedOn w:val="DefaultParagraphFont"/>
    <w:link w:val="Heading2"/>
    <w:uiPriority w:val="9"/>
    <w:rsid w:val="00D07AAE"/>
    <w:rPr>
      <w:rFonts w:ascii="Times New Roman" w:eastAsiaTheme="majorEastAsia" w:hAnsi="Times New Roman" w:cstheme="majorBidi"/>
      <w:b/>
      <w:bCs/>
      <w:sz w:val="24"/>
      <w:szCs w:val="26"/>
      <w:lang w:eastAsia="es-CO"/>
    </w:rPr>
  </w:style>
  <w:style w:type="character" w:customStyle="1" w:styleId="Heading3Char">
    <w:name w:val="Heading 3 Char"/>
    <w:basedOn w:val="DefaultParagraphFont"/>
    <w:link w:val="Heading3"/>
    <w:uiPriority w:val="9"/>
    <w:rsid w:val="00D07AAE"/>
    <w:rPr>
      <w:rFonts w:ascii="Times New Roman" w:eastAsiaTheme="majorEastAsia" w:hAnsi="Times New Roman" w:cstheme="majorBidi"/>
      <w:bCs/>
      <w:sz w:val="24"/>
      <w:szCs w:val="20"/>
      <w:lang w:eastAsia="es-CO"/>
    </w:rPr>
  </w:style>
  <w:style w:type="character" w:customStyle="1" w:styleId="Heading4Char">
    <w:name w:val="Heading 4 Char"/>
    <w:basedOn w:val="DefaultParagraphFont"/>
    <w:link w:val="Heading4"/>
    <w:uiPriority w:val="9"/>
    <w:rsid w:val="00D07AAE"/>
    <w:rPr>
      <w:rFonts w:asciiTheme="majorHAnsi" w:eastAsiaTheme="majorEastAsia" w:hAnsiTheme="majorHAnsi" w:cstheme="majorBidi"/>
      <w:bCs/>
      <w:i/>
      <w:iCs/>
      <w:sz w:val="24"/>
      <w:szCs w:val="20"/>
      <w:lang w:eastAsia="es-CO"/>
    </w:rPr>
  </w:style>
  <w:style w:type="character" w:customStyle="1" w:styleId="Heading5Char">
    <w:name w:val="Heading 5 Char"/>
    <w:basedOn w:val="DefaultParagraphFont"/>
    <w:link w:val="Heading5"/>
    <w:uiPriority w:val="9"/>
    <w:semiHidden/>
    <w:rsid w:val="00D07AAE"/>
    <w:rPr>
      <w:rFonts w:asciiTheme="majorHAnsi" w:eastAsiaTheme="majorEastAsia" w:hAnsiTheme="majorHAnsi" w:cstheme="majorBidi"/>
      <w:color w:val="1F3763" w:themeColor="accent1" w:themeShade="7F"/>
      <w:sz w:val="24"/>
      <w:szCs w:val="20"/>
      <w:lang w:eastAsia="es-CO"/>
    </w:rPr>
  </w:style>
  <w:style w:type="character" w:customStyle="1" w:styleId="Heading6Char">
    <w:name w:val="Heading 6 Char"/>
    <w:basedOn w:val="DefaultParagraphFont"/>
    <w:link w:val="Heading6"/>
    <w:uiPriority w:val="9"/>
    <w:semiHidden/>
    <w:rsid w:val="00D07AAE"/>
    <w:rPr>
      <w:rFonts w:asciiTheme="majorHAnsi" w:eastAsiaTheme="majorEastAsia" w:hAnsiTheme="majorHAnsi" w:cstheme="majorBidi"/>
      <w:i/>
      <w:iCs/>
      <w:color w:val="1F3763" w:themeColor="accent1" w:themeShade="7F"/>
      <w:sz w:val="24"/>
      <w:szCs w:val="20"/>
      <w:lang w:eastAsia="es-CO"/>
    </w:rPr>
  </w:style>
  <w:style w:type="character" w:customStyle="1" w:styleId="Heading7Char">
    <w:name w:val="Heading 7 Char"/>
    <w:basedOn w:val="DefaultParagraphFont"/>
    <w:link w:val="Heading7"/>
    <w:uiPriority w:val="9"/>
    <w:semiHidden/>
    <w:rsid w:val="00D07AAE"/>
    <w:rPr>
      <w:rFonts w:asciiTheme="majorHAnsi" w:eastAsiaTheme="majorEastAsia" w:hAnsiTheme="majorHAnsi" w:cstheme="majorBidi"/>
      <w:i/>
      <w:iCs/>
      <w:color w:val="404040" w:themeColor="text1" w:themeTint="BF"/>
      <w:sz w:val="24"/>
      <w:szCs w:val="20"/>
      <w:lang w:eastAsia="es-CO"/>
    </w:rPr>
  </w:style>
  <w:style w:type="character" w:customStyle="1" w:styleId="Heading8Char">
    <w:name w:val="Heading 8 Char"/>
    <w:basedOn w:val="DefaultParagraphFont"/>
    <w:link w:val="Heading8"/>
    <w:uiPriority w:val="9"/>
    <w:semiHidden/>
    <w:rsid w:val="00D07AAE"/>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D07AAE"/>
    <w:rPr>
      <w:rFonts w:asciiTheme="majorHAnsi" w:eastAsiaTheme="majorEastAsia" w:hAnsiTheme="majorHAnsi" w:cstheme="majorBidi"/>
      <w:i/>
      <w:iCs/>
      <w:color w:val="404040" w:themeColor="text1" w:themeTint="BF"/>
      <w:sz w:val="20"/>
      <w:szCs w:val="20"/>
      <w:lang w:eastAsia="es-CO"/>
    </w:rPr>
  </w:style>
  <w:style w:type="character" w:styleId="Hyperlink">
    <w:name w:val="Hyperlink"/>
    <w:basedOn w:val="DefaultParagraphFont"/>
    <w:uiPriority w:val="99"/>
    <w:unhideWhenUsed/>
    <w:rsid w:val="00D07AAE"/>
    <w:rPr>
      <w:color w:val="0563C1" w:themeColor="hyperlink"/>
      <w:u w:val="single"/>
    </w:rPr>
  </w:style>
  <w:style w:type="paragraph" w:styleId="ListParagraph">
    <w:name w:val="List Paragraph"/>
    <w:basedOn w:val="Normal"/>
    <w:uiPriority w:val="34"/>
    <w:qFormat/>
    <w:rsid w:val="00D07AAE"/>
    <w:pPr>
      <w:spacing w:after="0" w:line="240" w:lineRule="auto"/>
      <w:ind w:left="720"/>
      <w:contextualSpacing/>
      <w:jc w:val="both"/>
    </w:pPr>
    <w:rPr>
      <w:rFonts w:ascii="Times New Roman" w:eastAsia="Times New Roman" w:hAnsi="Times New Roman" w:cs="Times New Roman"/>
      <w:sz w:val="24"/>
      <w:szCs w:val="20"/>
      <w:lang w:eastAsia="es-CO"/>
    </w:rPr>
  </w:style>
  <w:style w:type="paragraph" w:styleId="BalloonText">
    <w:name w:val="Balloon Text"/>
    <w:basedOn w:val="Normal"/>
    <w:link w:val="BalloonTextChar"/>
    <w:uiPriority w:val="99"/>
    <w:semiHidden/>
    <w:unhideWhenUsed/>
    <w:rsid w:val="006B048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48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07AAE"/>
    <w:pPr>
      <w:keepNext/>
      <w:keepLines/>
      <w:numPr>
        <w:numId w:val="1"/>
      </w:numPr>
      <w:spacing w:before="480" w:after="0" w:line="240" w:lineRule="auto"/>
      <w:outlineLvl w:val="0"/>
    </w:pPr>
    <w:rPr>
      <w:rFonts w:ascii="Times New Roman" w:eastAsiaTheme="majorEastAsia" w:hAnsi="Times New Roman" w:cstheme="majorBidi"/>
      <w:b/>
      <w:bCs/>
      <w:sz w:val="24"/>
      <w:szCs w:val="32"/>
      <w:lang w:eastAsia="es-CO"/>
    </w:rPr>
  </w:style>
  <w:style w:type="paragraph" w:styleId="Heading2">
    <w:name w:val="heading 2"/>
    <w:basedOn w:val="Normal"/>
    <w:next w:val="Normal"/>
    <w:link w:val="Heading2Char"/>
    <w:autoRedefine/>
    <w:uiPriority w:val="9"/>
    <w:unhideWhenUsed/>
    <w:qFormat/>
    <w:rsid w:val="00D07AAE"/>
    <w:pPr>
      <w:keepNext/>
      <w:keepLines/>
      <w:numPr>
        <w:ilvl w:val="1"/>
        <w:numId w:val="1"/>
      </w:numPr>
      <w:spacing w:before="200" w:after="0" w:line="240" w:lineRule="auto"/>
      <w:outlineLvl w:val="1"/>
    </w:pPr>
    <w:rPr>
      <w:rFonts w:ascii="Times New Roman" w:eastAsiaTheme="majorEastAsia" w:hAnsi="Times New Roman" w:cstheme="majorBidi"/>
      <w:b/>
      <w:bCs/>
      <w:sz w:val="24"/>
      <w:szCs w:val="26"/>
      <w:lang w:eastAsia="es-CO"/>
    </w:rPr>
  </w:style>
  <w:style w:type="paragraph" w:styleId="Heading3">
    <w:name w:val="heading 3"/>
    <w:basedOn w:val="Normal"/>
    <w:next w:val="Normal"/>
    <w:link w:val="Heading3Char"/>
    <w:uiPriority w:val="9"/>
    <w:unhideWhenUsed/>
    <w:qFormat/>
    <w:rsid w:val="00D07AAE"/>
    <w:pPr>
      <w:keepNext/>
      <w:keepLines/>
      <w:numPr>
        <w:ilvl w:val="2"/>
        <w:numId w:val="1"/>
      </w:numPr>
      <w:spacing w:before="200" w:after="0" w:line="240" w:lineRule="auto"/>
      <w:outlineLvl w:val="2"/>
    </w:pPr>
    <w:rPr>
      <w:rFonts w:ascii="Times New Roman" w:eastAsiaTheme="majorEastAsia" w:hAnsi="Times New Roman" w:cstheme="majorBidi"/>
      <w:bCs/>
      <w:sz w:val="24"/>
      <w:szCs w:val="20"/>
      <w:lang w:eastAsia="es-CO"/>
    </w:rPr>
  </w:style>
  <w:style w:type="paragraph" w:styleId="Heading4">
    <w:name w:val="heading 4"/>
    <w:basedOn w:val="Normal"/>
    <w:next w:val="Normal"/>
    <w:link w:val="Heading4Char"/>
    <w:uiPriority w:val="9"/>
    <w:unhideWhenUsed/>
    <w:qFormat/>
    <w:rsid w:val="00D07AAE"/>
    <w:pPr>
      <w:keepNext/>
      <w:keepLines/>
      <w:numPr>
        <w:ilvl w:val="3"/>
        <w:numId w:val="1"/>
      </w:numPr>
      <w:spacing w:before="200" w:after="0" w:line="240" w:lineRule="auto"/>
      <w:jc w:val="both"/>
      <w:outlineLvl w:val="3"/>
    </w:pPr>
    <w:rPr>
      <w:rFonts w:asciiTheme="majorHAnsi" w:eastAsiaTheme="majorEastAsia" w:hAnsiTheme="majorHAnsi" w:cstheme="majorBidi"/>
      <w:bCs/>
      <w:i/>
      <w:iCs/>
      <w:sz w:val="24"/>
      <w:szCs w:val="20"/>
      <w:lang w:eastAsia="es-CO"/>
    </w:rPr>
  </w:style>
  <w:style w:type="paragraph" w:styleId="Heading5">
    <w:name w:val="heading 5"/>
    <w:basedOn w:val="Normal"/>
    <w:next w:val="Normal"/>
    <w:link w:val="Heading5Char"/>
    <w:uiPriority w:val="9"/>
    <w:semiHidden/>
    <w:unhideWhenUsed/>
    <w:qFormat/>
    <w:rsid w:val="00D07AAE"/>
    <w:pPr>
      <w:keepNext/>
      <w:keepLines/>
      <w:numPr>
        <w:ilvl w:val="4"/>
        <w:numId w:val="1"/>
      </w:numPr>
      <w:spacing w:before="200" w:after="0" w:line="240" w:lineRule="auto"/>
      <w:jc w:val="both"/>
      <w:outlineLvl w:val="4"/>
    </w:pPr>
    <w:rPr>
      <w:rFonts w:asciiTheme="majorHAnsi" w:eastAsiaTheme="majorEastAsia" w:hAnsiTheme="majorHAnsi" w:cstheme="majorBidi"/>
      <w:color w:val="1F3763" w:themeColor="accent1" w:themeShade="7F"/>
      <w:sz w:val="24"/>
      <w:szCs w:val="20"/>
      <w:lang w:eastAsia="es-CO"/>
    </w:rPr>
  </w:style>
  <w:style w:type="paragraph" w:styleId="Heading6">
    <w:name w:val="heading 6"/>
    <w:basedOn w:val="Normal"/>
    <w:next w:val="Normal"/>
    <w:link w:val="Heading6Char"/>
    <w:uiPriority w:val="9"/>
    <w:semiHidden/>
    <w:unhideWhenUsed/>
    <w:qFormat/>
    <w:rsid w:val="00D07AAE"/>
    <w:pPr>
      <w:keepNext/>
      <w:keepLines/>
      <w:numPr>
        <w:ilvl w:val="5"/>
        <w:numId w:val="1"/>
      </w:numPr>
      <w:spacing w:before="200" w:after="0" w:line="240" w:lineRule="auto"/>
      <w:jc w:val="both"/>
      <w:outlineLvl w:val="5"/>
    </w:pPr>
    <w:rPr>
      <w:rFonts w:asciiTheme="majorHAnsi" w:eastAsiaTheme="majorEastAsia" w:hAnsiTheme="majorHAnsi" w:cstheme="majorBidi"/>
      <w:i/>
      <w:iCs/>
      <w:color w:val="1F3763" w:themeColor="accent1" w:themeShade="7F"/>
      <w:sz w:val="24"/>
      <w:szCs w:val="20"/>
      <w:lang w:eastAsia="es-CO"/>
    </w:rPr>
  </w:style>
  <w:style w:type="paragraph" w:styleId="Heading7">
    <w:name w:val="heading 7"/>
    <w:basedOn w:val="Normal"/>
    <w:next w:val="Normal"/>
    <w:link w:val="Heading7Char"/>
    <w:uiPriority w:val="9"/>
    <w:semiHidden/>
    <w:unhideWhenUsed/>
    <w:qFormat/>
    <w:rsid w:val="00D07AAE"/>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eastAsia="es-CO"/>
    </w:rPr>
  </w:style>
  <w:style w:type="paragraph" w:styleId="Heading8">
    <w:name w:val="heading 8"/>
    <w:basedOn w:val="Normal"/>
    <w:next w:val="Normal"/>
    <w:link w:val="Heading8Char"/>
    <w:uiPriority w:val="9"/>
    <w:semiHidden/>
    <w:unhideWhenUsed/>
    <w:qFormat/>
    <w:rsid w:val="00D07AAE"/>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es-CO"/>
    </w:rPr>
  </w:style>
  <w:style w:type="paragraph" w:styleId="Heading9">
    <w:name w:val="heading 9"/>
    <w:basedOn w:val="Normal"/>
    <w:next w:val="Normal"/>
    <w:link w:val="Heading9Char"/>
    <w:uiPriority w:val="9"/>
    <w:semiHidden/>
    <w:unhideWhenUsed/>
    <w:qFormat/>
    <w:rsid w:val="00D07AAE"/>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AAE"/>
    <w:rPr>
      <w:rFonts w:ascii="Times New Roman" w:eastAsiaTheme="majorEastAsia" w:hAnsi="Times New Roman" w:cstheme="majorBidi"/>
      <w:b/>
      <w:bCs/>
      <w:sz w:val="24"/>
      <w:szCs w:val="32"/>
      <w:lang w:eastAsia="es-CO"/>
    </w:rPr>
  </w:style>
  <w:style w:type="character" w:customStyle="1" w:styleId="Heading2Char">
    <w:name w:val="Heading 2 Char"/>
    <w:basedOn w:val="DefaultParagraphFont"/>
    <w:link w:val="Heading2"/>
    <w:uiPriority w:val="9"/>
    <w:rsid w:val="00D07AAE"/>
    <w:rPr>
      <w:rFonts w:ascii="Times New Roman" w:eastAsiaTheme="majorEastAsia" w:hAnsi="Times New Roman" w:cstheme="majorBidi"/>
      <w:b/>
      <w:bCs/>
      <w:sz w:val="24"/>
      <w:szCs w:val="26"/>
      <w:lang w:eastAsia="es-CO"/>
    </w:rPr>
  </w:style>
  <w:style w:type="character" w:customStyle="1" w:styleId="Heading3Char">
    <w:name w:val="Heading 3 Char"/>
    <w:basedOn w:val="DefaultParagraphFont"/>
    <w:link w:val="Heading3"/>
    <w:uiPriority w:val="9"/>
    <w:rsid w:val="00D07AAE"/>
    <w:rPr>
      <w:rFonts w:ascii="Times New Roman" w:eastAsiaTheme="majorEastAsia" w:hAnsi="Times New Roman" w:cstheme="majorBidi"/>
      <w:bCs/>
      <w:sz w:val="24"/>
      <w:szCs w:val="20"/>
      <w:lang w:eastAsia="es-CO"/>
    </w:rPr>
  </w:style>
  <w:style w:type="character" w:customStyle="1" w:styleId="Heading4Char">
    <w:name w:val="Heading 4 Char"/>
    <w:basedOn w:val="DefaultParagraphFont"/>
    <w:link w:val="Heading4"/>
    <w:uiPriority w:val="9"/>
    <w:rsid w:val="00D07AAE"/>
    <w:rPr>
      <w:rFonts w:asciiTheme="majorHAnsi" w:eastAsiaTheme="majorEastAsia" w:hAnsiTheme="majorHAnsi" w:cstheme="majorBidi"/>
      <w:bCs/>
      <w:i/>
      <w:iCs/>
      <w:sz w:val="24"/>
      <w:szCs w:val="20"/>
      <w:lang w:eastAsia="es-CO"/>
    </w:rPr>
  </w:style>
  <w:style w:type="character" w:customStyle="1" w:styleId="Heading5Char">
    <w:name w:val="Heading 5 Char"/>
    <w:basedOn w:val="DefaultParagraphFont"/>
    <w:link w:val="Heading5"/>
    <w:uiPriority w:val="9"/>
    <w:semiHidden/>
    <w:rsid w:val="00D07AAE"/>
    <w:rPr>
      <w:rFonts w:asciiTheme="majorHAnsi" w:eastAsiaTheme="majorEastAsia" w:hAnsiTheme="majorHAnsi" w:cstheme="majorBidi"/>
      <w:color w:val="1F3763" w:themeColor="accent1" w:themeShade="7F"/>
      <w:sz w:val="24"/>
      <w:szCs w:val="20"/>
      <w:lang w:eastAsia="es-CO"/>
    </w:rPr>
  </w:style>
  <w:style w:type="character" w:customStyle="1" w:styleId="Heading6Char">
    <w:name w:val="Heading 6 Char"/>
    <w:basedOn w:val="DefaultParagraphFont"/>
    <w:link w:val="Heading6"/>
    <w:uiPriority w:val="9"/>
    <w:semiHidden/>
    <w:rsid w:val="00D07AAE"/>
    <w:rPr>
      <w:rFonts w:asciiTheme="majorHAnsi" w:eastAsiaTheme="majorEastAsia" w:hAnsiTheme="majorHAnsi" w:cstheme="majorBidi"/>
      <w:i/>
      <w:iCs/>
      <w:color w:val="1F3763" w:themeColor="accent1" w:themeShade="7F"/>
      <w:sz w:val="24"/>
      <w:szCs w:val="20"/>
      <w:lang w:eastAsia="es-CO"/>
    </w:rPr>
  </w:style>
  <w:style w:type="character" w:customStyle="1" w:styleId="Heading7Char">
    <w:name w:val="Heading 7 Char"/>
    <w:basedOn w:val="DefaultParagraphFont"/>
    <w:link w:val="Heading7"/>
    <w:uiPriority w:val="9"/>
    <w:semiHidden/>
    <w:rsid w:val="00D07AAE"/>
    <w:rPr>
      <w:rFonts w:asciiTheme="majorHAnsi" w:eastAsiaTheme="majorEastAsia" w:hAnsiTheme="majorHAnsi" w:cstheme="majorBidi"/>
      <w:i/>
      <w:iCs/>
      <w:color w:val="404040" w:themeColor="text1" w:themeTint="BF"/>
      <w:sz w:val="24"/>
      <w:szCs w:val="20"/>
      <w:lang w:eastAsia="es-CO"/>
    </w:rPr>
  </w:style>
  <w:style w:type="character" w:customStyle="1" w:styleId="Heading8Char">
    <w:name w:val="Heading 8 Char"/>
    <w:basedOn w:val="DefaultParagraphFont"/>
    <w:link w:val="Heading8"/>
    <w:uiPriority w:val="9"/>
    <w:semiHidden/>
    <w:rsid w:val="00D07AAE"/>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D07AAE"/>
    <w:rPr>
      <w:rFonts w:asciiTheme="majorHAnsi" w:eastAsiaTheme="majorEastAsia" w:hAnsiTheme="majorHAnsi" w:cstheme="majorBidi"/>
      <w:i/>
      <w:iCs/>
      <w:color w:val="404040" w:themeColor="text1" w:themeTint="BF"/>
      <w:sz w:val="20"/>
      <w:szCs w:val="20"/>
      <w:lang w:eastAsia="es-CO"/>
    </w:rPr>
  </w:style>
  <w:style w:type="character" w:styleId="Hyperlink">
    <w:name w:val="Hyperlink"/>
    <w:basedOn w:val="DefaultParagraphFont"/>
    <w:uiPriority w:val="99"/>
    <w:unhideWhenUsed/>
    <w:rsid w:val="00D07AAE"/>
    <w:rPr>
      <w:color w:val="0563C1" w:themeColor="hyperlink"/>
      <w:u w:val="single"/>
    </w:rPr>
  </w:style>
  <w:style w:type="paragraph" w:styleId="ListParagraph">
    <w:name w:val="List Paragraph"/>
    <w:basedOn w:val="Normal"/>
    <w:uiPriority w:val="34"/>
    <w:qFormat/>
    <w:rsid w:val="00D07AAE"/>
    <w:pPr>
      <w:spacing w:after="0" w:line="240" w:lineRule="auto"/>
      <w:ind w:left="720"/>
      <w:contextualSpacing/>
      <w:jc w:val="both"/>
    </w:pPr>
    <w:rPr>
      <w:rFonts w:ascii="Times New Roman" w:eastAsia="Times New Roman" w:hAnsi="Times New Roman" w:cs="Times New Roman"/>
      <w:sz w:val="24"/>
      <w:szCs w:val="20"/>
      <w:lang w:eastAsia="es-CO"/>
    </w:rPr>
  </w:style>
  <w:style w:type="paragraph" w:styleId="BalloonText">
    <w:name w:val="Balloon Text"/>
    <w:basedOn w:val="Normal"/>
    <w:link w:val="BalloonTextChar"/>
    <w:uiPriority w:val="99"/>
    <w:semiHidden/>
    <w:unhideWhenUsed/>
    <w:rsid w:val="006B048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4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73451">
      <w:bodyDiv w:val="1"/>
      <w:marLeft w:val="0"/>
      <w:marRight w:val="0"/>
      <w:marTop w:val="0"/>
      <w:marBottom w:val="0"/>
      <w:divBdr>
        <w:top w:val="none" w:sz="0" w:space="0" w:color="auto"/>
        <w:left w:val="none" w:sz="0" w:space="0" w:color="auto"/>
        <w:bottom w:val="none" w:sz="0" w:space="0" w:color="auto"/>
        <w:right w:val="none" w:sz="0" w:space="0" w:color="auto"/>
      </w:divBdr>
      <w:divsChild>
        <w:div w:id="98909856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Bol13</b:Tag>
    <b:SourceType>JournalArticle</b:SourceType>
    <b:Guid>{A59DC5FF-5196-4CAA-80CE-83C70F6B9ED2}</b:Guid>
    <b:Title>Métodos de partición de utilidades: determinación e implicaciones fiscales</b:Title>
    <b:Year>2013</b:Year>
    <b:Author>
      <b:Author>
        <b:Corporate>Boletín de Investigación de la Comisión Fiscal Internacional </b:Corporate>
      </b:Author>
    </b:Author>
    <b:JournalName>Colegio de Contadores de México</b:JournalName>
    <b:RefOrder>1</b:RefOrder>
  </b:Source>
  <b:Source>
    <b:Tag>Bet05</b:Tag>
    <b:SourceType>Book</b:SourceType>
    <b:Guid>{2238921A-06D7-4BA2-BE88-29DB55A2D95D}</b:Guid>
    <b:Title>Precios de transferencia sus efectos fiscales</b:Title>
    <b:Year>2005</b:Year>
    <b:Publisher>ISEF Empresa lider</b:Publisher>
    <b:Author>
      <b:Author>
        <b:NameList>
          <b:Person>
            <b:Last>Bettinger</b:Last>
            <b:First>Herbert</b:First>
          </b:Person>
        </b:NameList>
      </b:Author>
    </b:Author>
    <b:RefOrder>2</b:RefOrder>
  </b:Source>
</b:Sources>
</file>

<file path=customXml/itemProps1.xml><?xml version="1.0" encoding="utf-8"?>
<ds:datastoreItem xmlns:ds="http://schemas.openxmlformats.org/officeDocument/2006/customXml" ds:itemID="{41100C95-8687-4D4B-88D1-7B8088F6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547</Words>
  <Characters>3124</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Blanco</dc:creator>
  <cp:keywords/>
  <dc:description/>
  <cp:lastModifiedBy>Silvia Blanco</cp:lastModifiedBy>
  <cp:revision>8</cp:revision>
  <dcterms:created xsi:type="dcterms:W3CDTF">2018-06-21T03:33:00Z</dcterms:created>
  <dcterms:modified xsi:type="dcterms:W3CDTF">2018-07-21T14:17:00Z</dcterms:modified>
</cp:coreProperties>
</file>