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B4CDD" w14:textId="77777777" w:rsidR="00FB49AB" w:rsidRPr="009B1DCC" w:rsidRDefault="009B1DCC" w:rsidP="00575BF6">
      <w:pPr>
        <w:jc w:val="center"/>
        <w:rPr>
          <w:rFonts w:ascii="Arial" w:hAnsi="Arial" w:cs="Arial"/>
          <w:b/>
          <w:szCs w:val="24"/>
        </w:rPr>
      </w:pPr>
      <w:r w:rsidRPr="009B1DCC">
        <w:rPr>
          <w:rFonts w:ascii="Arial" w:hAnsi="Arial" w:cs="Arial"/>
          <w:b/>
          <w:szCs w:val="24"/>
        </w:rPr>
        <w:t>In</w:t>
      </w:r>
      <w:r w:rsidR="00575BF6">
        <w:rPr>
          <w:rFonts w:ascii="Arial" w:hAnsi="Arial" w:cs="Arial"/>
          <w:b/>
          <w:szCs w:val="24"/>
        </w:rPr>
        <w:t xml:space="preserve">teractividad </w:t>
      </w:r>
      <w:r w:rsidRPr="009B1DCC">
        <w:rPr>
          <w:rFonts w:ascii="Arial" w:hAnsi="Arial" w:cs="Arial"/>
          <w:b/>
          <w:szCs w:val="24"/>
        </w:rPr>
        <w:t>Impuestos distritales</w:t>
      </w:r>
    </w:p>
    <w:p w14:paraId="5590867C" w14:textId="77777777" w:rsidR="009B1DCC" w:rsidRPr="00A43642" w:rsidRDefault="009B1DCC">
      <w:pPr>
        <w:rPr>
          <w:rFonts w:ascii="Arial" w:hAnsi="Arial" w:cs="Arial"/>
          <w:color w:val="FF0000"/>
          <w:szCs w:val="24"/>
        </w:rPr>
      </w:pPr>
      <w:r w:rsidRPr="00A43642">
        <w:rPr>
          <w:rFonts w:ascii="Arial" w:hAnsi="Arial" w:cs="Arial"/>
          <w:color w:val="FF0000"/>
          <w:szCs w:val="24"/>
        </w:rPr>
        <w:t xml:space="preserve">Diseñar una infografía como la de la referencia Image ID:ISS_13950_00873 , pero ubicando 5 grandes secciones que se desplegarán en pop ups con la información. </w:t>
      </w:r>
    </w:p>
    <w:p w14:paraId="0E9016A4" w14:textId="77777777" w:rsidR="00A43642" w:rsidRDefault="009B1DCC">
      <w:pPr>
        <w:rPr>
          <w:rFonts w:ascii="Arial" w:hAnsi="Arial" w:cs="Arial"/>
          <w:szCs w:val="24"/>
        </w:rPr>
      </w:pPr>
      <w:r w:rsidRPr="00A43642">
        <w:rPr>
          <w:rFonts w:ascii="Arial" w:hAnsi="Arial" w:cs="Arial"/>
          <w:color w:val="FF0000"/>
          <w:szCs w:val="24"/>
        </w:rPr>
        <w:t>Ubicar como título:</w:t>
      </w:r>
      <w:r w:rsidRPr="009B1DCC">
        <w:rPr>
          <w:rFonts w:ascii="Arial" w:hAnsi="Arial" w:cs="Arial"/>
          <w:szCs w:val="24"/>
        </w:rPr>
        <w:t xml:space="preserve"> </w:t>
      </w:r>
    </w:p>
    <w:p w14:paraId="248438D6" w14:textId="1FC31F93" w:rsidR="009B1DCC" w:rsidRPr="00A43642" w:rsidRDefault="00A43642">
      <w:pPr>
        <w:rPr>
          <w:rFonts w:ascii="Arial" w:hAnsi="Arial" w:cs="Arial"/>
          <w:b/>
          <w:szCs w:val="24"/>
        </w:rPr>
      </w:pPr>
      <w:r w:rsidRPr="00A43642">
        <w:rPr>
          <w:rFonts w:ascii="Arial" w:hAnsi="Arial" w:cs="Arial"/>
          <w:b/>
          <w:szCs w:val="24"/>
        </w:rPr>
        <w:t>Impuestos distritales</w:t>
      </w:r>
    </w:p>
    <w:p w14:paraId="7F8531E5" w14:textId="77777777" w:rsidR="009B1DCC" w:rsidRPr="009B1DCC" w:rsidRDefault="009B1DCC" w:rsidP="009B1DCC">
      <w:pPr>
        <w:jc w:val="center"/>
        <w:rPr>
          <w:rFonts w:ascii="Arial" w:hAnsi="Arial" w:cs="Arial"/>
          <w:szCs w:val="24"/>
        </w:rPr>
      </w:pPr>
      <w:r w:rsidRPr="009B1DCC">
        <w:rPr>
          <w:rFonts w:ascii="Arial" w:hAnsi="Arial" w:cs="Arial"/>
          <w:noProof/>
          <w:szCs w:val="24"/>
          <w:lang w:val="en-US"/>
        </w:rPr>
        <w:drawing>
          <wp:inline distT="0" distB="0" distL="0" distR="0" wp14:anchorId="6F2A7F6F" wp14:editId="4C67C800">
            <wp:extent cx="4601210" cy="1948797"/>
            <wp:effectExtent l="0" t="0" r="0" b="0"/>
            <wp:docPr id="1" name="Imagen 1" descr="https://www.ingimage.com/stock-photo-preview/99795277/1000/iss_13950_00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gimage.com/stock-photo-preview/99795277/1000/iss_13950_00873.jpg"/>
                    <pic:cNvPicPr>
                      <a:picLocks noChangeAspect="1" noChangeArrowheads="1"/>
                    </pic:cNvPicPr>
                  </pic:nvPicPr>
                  <pic:blipFill rotWithShape="1">
                    <a:blip r:embed="rId7">
                      <a:extLst>
                        <a:ext uri="{28A0092B-C50C-407E-A947-70E740481C1C}">
                          <a14:useLocalDpi xmlns:a14="http://schemas.microsoft.com/office/drawing/2010/main" val="0"/>
                        </a:ext>
                      </a:extLst>
                    </a:blip>
                    <a:srcRect l="562" t="20797" r="-562" b="15711"/>
                    <a:stretch/>
                  </pic:blipFill>
                  <pic:spPr bwMode="auto">
                    <a:xfrm>
                      <a:off x="0" y="0"/>
                      <a:ext cx="4620024" cy="1956765"/>
                    </a:xfrm>
                    <a:prstGeom prst="rect">
                      <a:avLst/>
                    </a:prstGeom>
                    <a:noFill/>
                    <a:ln>
                      <a:noFill/>
                    </a:ln>
                    <a:extLst>
                      <a:ext uri="{53640926-AAD7-44d8-BBD7-CCE9431645EC}">
                        <a14:shadowObscured xmlns:a14="http://schemas.microsoft.com/office/drawing/2010/main"/>
                      </a:ext>
                    </a:extLst>
                  </pic:spPr>
                </pic:pic>
              </a:graphicData>
            </a:graphic>
          </wp:inline>
        </w:drawing>
      </w:r>
    </w:p>
    <w:p w14:paraId="34566CD4" w14:textId="77777777" w:rsidR="00A43642" w:rsidRPr="00A43642" w:rsidRDefault="00A43642" w:rsidP="009B1DCC">
      <w:pPr>
        <w:pStyle w:val="Heading3"/>
        <w:numPr>
          <w:ilvl w:val="0"/>
          <w:numId w:val="0"/>
        </w:numPr>
        <w:ind w:left="720" w:hanging="720"/>
        <w:rPr>
          <w:rFonts w:ascii="Arial" w:hAnsi="Arial" w:cs="Arial"/>
          <w:color w:val="FF0000"/>
          <w:sz w:val="22"/>
          <w:szCs w:val="24"/>
        </w:rPr>
      </w:pPr>
      <w:bookmarkStart w:id="0" w:name="_Toc508475578"/>
      <w:r w:rsidRPr="00A43642">
        <w:rPr>
          <w:rFonts w:ascii="Arial" w:hAnsi="Arial" w:cs="Arial"/>
          <w:color w:val="FF0000"/>
          <w:sz w:val="22"/>
          <w:szCs w:val="24"/>
        </w:rPr>
        <w:t>Incluir la siguiente instrucción para el estudiante:</w:t>
      </w:r>
    </w:p>
    <w:p w14:paraId="1450EB04" w14:textId="29395BA4" w:rsidR="00A43642" w:rsidRPr="00A43642" w:rsidRDefault="00A43642" w:rsidP="009B1DCC">
      <w:pPr>
        <w:pStyle w:val="Heading3"/>
        <w:numPr>
          <w:ilvl w:val="0"/>
          <w:numId w:val="0"/>
        </w:numPr>
        <w:ind w:left="720" w:hanging="720"/>
        <w:rPr>
          <w:rFonts w:ascii="Arial" w:hAnsi="Arial" w:cs="Arial"/>
          <w:color w:val="auto"/>
          <w:sz w:val="22"/>
          <w:szCs w:val="24"/>
        </w:rPr>
      </w:pPr>
      <w:r w:rsidRPr="00A43642">
        <w:rPr>
          <w:rFonts w:ascii="Arial" w:hAnsi="Arial" w:cs="Arial"/>
          <w:color w:val="auto"/>
          <w:sz w:val="22"/>
          <w:szCs w:val="24"/>
        </w:rPr>
        <w:t>Haz clic sobre cada ítem, para conocer sobre cada impuesto distrital.</w:t>
      </w:r>
    </w:p>
    <w:p w14:paraId="33D81B53" w14:textId="7299E0C5" w:rsidR="009B1DCC" w:rsidRPr="009B1DCC" w:rsidRDefault="009B1DCC" w:rsidP="00A43642">
      <w:pPr>
        <w:pStyle w:val="Heading3"/>
        <w:numPr>
          <w:ilvl w:val="0"/>
          <w:numId w:val="0"/>
        </w:numPr>
        <w:rPr>
          <w:rFonts w:ascii="Arial" w:hAnsi="Arial" w:cs="Arial"/>
          <w:b/>
          <w:color w:val="FF0000"/>
          <w:sz w:val="22"/>
          <w:szCs w:val="24"/>
        </w:rPr>
      </w:pPr>
      <w:r w:rsidRPr="009B1DCC">
        <w:rPr>
          <w:rFonts w:ascii="Arial" w:hAnsi="Arial" w:cs="Arial"/>
          <w:b/>
          <w:color w:val="FF0000"/>
          <w:sz w:val="22"/>
          <w:szCs w:val="24"/>
        </w:rPr>
        <w:t>Pop up 1</w:t>
      </w:r>
    </w:p>
    <w:p w14:paraId="049CFFD2" w14:textId="77777777" w:rsidR="009B1DCC" w:rsidRPr="009B1DCC" w:rsidRDefault="009B1DCC" w:rsidP="009B1DCC">
      <w:pPr>
        <w:pStyle w:val="Heading3"/>
        <w:numPr>
          <w:ilvl w:val="0"/>
          <w:numId w:val="0"/>
        </w:numPr>
        <w:ind w:left="720" w:hanging="720"/>
        <w:rPr>
          <w:rFonts w:ascii="Arial" w:hAnsi="Arial" w:cs="Arial"/>
          <w:b/>
          <w:sz w:val="22"/>
          <w:szCs w:val="24"/>
        </w:rPr>
      </w:pPr>
      <w:r w:rsidRPr="009B1DCC">
        <w:rPr>
          <w:rFonts w:ascii="Arial" w:hAnsi="Arial" w:cs="Arial"/>
          <w:b/>
          <w:sz w:val="22"/>
          <w:szCs w:val="24"/>
        </w:rPr>
        <w:t>Impuesto predial unificado</w:t>
      </w:r>
      <w:bookmarkEnd w:id="0"/>
    </w:p>
    <w:p w14:paraId="160EC567" w14:textId="77777777" w:rsidR="009B1DCC" w:rsidRPr="009B1DCC" w:rsidRDefault="009B1DCC" w:rsidP="009B1DCC">
      <w:pPr>
        <w:rPr>
          <w:rFonts w:ascii="Arial" w:hAnsi="Arial" w:cs="Arial"/>
          <w:szCs w:val="24"/>
        </w:rPr>
      </w:pPr>
    </w:p>
    <w:p w14:paraId="4FB7B70A" w14:textId="77777777" w:rsidR="009B1DCC" w:rsidRPr="009B1DCC" w:rsidRDefault="009B1DCC" w:rsidP="009B1DCC">
      <w:pPr>
        <w:rPr>
          <w:rFonts w:ascii="Arial" w:hAnsi="Arial" w:cs="Arial"/>
          <w:szCs w:val="24"/>
        </w:rPr>
      </w:pPr>
      <w:r w:rsidRPr="009B1DCC">
        <w:rPr>
          <w:rFonts w:ascii="Arial" w:hAnsi="Arial" w:cs="Arial"/>
          <w:szCs w:val="24"/>
        </w:rPr>
        <w:t xml:space="preserve">Señala que el proyecto de acuerdo por el cual se ordena un beneficio </w:t>
      </w:r>
      <w:hyperlink w:anchor="_Glosario" w:history="1">
        <w:r w:rsidRPr="009B1DCC">
          <w:rPr>
            <w:rFonts w:ascii="Arial" w:hAnsi="Arial" w:cs="Arial"/>
            <w:szCs w:val="24"/>
          </w:rPr>
          <w:t>tributario</w:t>
        </w:r>
      </w:hyperlink>
      <w:r w:rsidRPr="009B1DCC">
        <w:rPr>
          <w:rFonts w:ascii="Arial" w:hAnsi="Arial" w:cs="Arial"/>
          <w:szCs w:val="24"/>
        </w:rPr>
        <w:t xml:space="preserve"> a las entidades de asistencia pública, entidades con fines de interés social y de utilidad pública y fundaciones, sin ánimo de lucro, de derecho público o privado en el impuesto predial unificado; se encuentra acorde con los preceptos constitucionales y legales vigentes y que además, refleja la necesidad de apoyar a instituciones que prestan ayuda a población vulnerable, colaborando así con el quehacer de la Administración, razón por la cual, el trato tributario preferencial es constitucional, legal y conveniente </w:t>
      </w:r>
      <w:sdt>
        <w:sdtPr>
          <w:rPr>
            <w:rFonts w:ascii="Arial" w:hAnsi="Arial" w:cs="Arial"/>
            <w:szCs w:val="24"/>
          </w:rPr>
          <w:id w:val="-1671717299"/>
          <w:citation/>
        </w:sdtPr>
        <w:sdtEndPr/>
        <w:sdtContent>
          <w:r w:rsidRPr="009B1DCC">
            <w:rPr>
              <w:rFonts w:ascii="Arial" w:hAnsi="Arial" w:cs="Arial"/>
              <w:szCs w:val="24"/>
            </w:rPr>
            <w:fldChar w:fldCharType="begin"/>
          </w:r>
          <w:r w:rsidRPr="009B1DCC">
            <w:rPr>
              <w:rFonts w:ascii="Arial" w:hAnsi="Arial" w:cs="Arial"/>
              <w:szCs w:val="24"/>
            </w:rPr>
            <w:instrText xml:space="preserve"> CITATION Alc16 \l 9226 </w:instrText>
          </w:r>
          <w:r w:rsidRPr="009B1DCC">
            <w:rPr>
              <w:rFonts w:ascii="Arial" w:hAnsi="Arial" w:cs="Arial"/>
              <w:szCs w:val="24"/>
            </w:rPr>
            <w:fldChar w:fldCharType="separate"/>
          </w:r>
          <w:r w:rsidRPr="009B1DCC">
            <w:rPr>
              <w:rFonts w:ascii="Arial" w:hAnsi="Arial" w:cs="Arial"/>
              <w:noProof/>
              <w:szCs w:val="24"/>
            </w:rPr>
            <w:t>(Alcaldía de Bogotá, 2016)</w:t>
          </w:r>
          <w:r w:rsidRPr="009B1DCC">
            <w:rPr>
              <w:rFonts w:ascii="Arial" w:hAnsi="Arial" w:cs="Arial"/>
              <w:szCs w:val="24"/>
            </w:rPr>
            <w:fldChar w:fldCharType="end"/>
          </w:r>
        </w:sdtContent>
      </w:sdt>
      <w:r w:rsidRPr="009B1DCC">
        <w:rPr>
          <w:rFonts w:ascii="Arial" w:hAnsi="Arial" w:cs="Arial"/>
          <w:szCs w:val="24"/>
        </w:rPr>
        <w:t xml:space="preserve">.  </w:t>
      </w:r>
    </w:p>
    <w:p w14:paraId="55F5E46E" w14:textId="77777777" w:rsidR="009B1DCC" w:rsidRPr="009B1DCC" w:rsidRDefault="009B1DCC" w:rsidP="009B1DCC">
      <w:pPr>
        <w:pStyle w:val="Heading3"/>
        <w:numPr>
          <w:ilvl w:val="0"/>
          <w:numId w:val="0"/>
        </w:numPr>
        <w:ind w:left="720" w:hanging="720"/>
        <w:rPr>
          <w:rFonts w:ascii="Arial" w:hAnsi="Arial" w:cs="Arial"/>
          <w:b/>
          <w:color w:val="FF0000"/>
          <w:sz w:val="22"/>
          <w:szCs w:val="24"/>
        </w:rPr>
      </w:pPr>
      <w:r w:rsidRPr="009B1DCC">
        <w:rPr>
          <w:rFonts w:ascii="Arial" w:hAnsi="Arial" w:cs="Arial"/>
          <w:b/>
          <w:color w:val="FF0000"/>
          <w:sz w:val="22"/>
          <w:szCs w:val="24"/>
        </w:rPr>
        <w:t>Pop up 2</w:t>
      </w:r>
    </w:p>
    <w:p w14:paraId="55493C15" w14:textId="77777777" w:rsidR="009B1DCC" w:rsidRPr="009B1DCC" w:rsidRDefault="009B1DCC" w:rsidP="009B1DCC">
      <w:pPr>
        <w:pStyle w:val="Heading3"/>
        <w:numPr>
          <w:ilvl w:val="0"/>
          <w:numId w:val="0"/>
        </w:numPr>
        <w:ind w:left="720" w:hanging="720"/>
        <w:rPr>
          <w:rFonts w:ascii="Arial" w:hAnsi="Arial" w:cs="Arial"/>
          <w:b/>
          <w:sz w:val="22"/>
          <w:szCs w:val="24"/>
        </w:rPr>
      </w:pPr>
      <w:bookmarkStart w:id="1" w:name="_Toc508475579"/>
      <w:r w:rsidRPr="009B1DCC">
        <w:rPr>
          <w:rFonts w:ascii="Arial" w:hAnsi="Arial" w:cs="Arial"/>
          <w:b/>
          <w:sz w:val="22"/>
          <w:szCs w:val="24"/>
        </w:rPr>
        <w:t>Impuesto de vehículos</w:t>
      </w:r>
      <w:bookmarkEnd w:id="1"/>
    </w:p>
    <w:p w14:paraId="7592CF96" w14:textId="77777777" w:rsidR="009B1DCC" w:rsidRPr="009B1DCC" w:rsidRDefault="009B1DCC" w:rsidP="009B1DCC">
      <w:pPr>
        <w:rPr>
          <w:rFonts w:ascii="Arial" w:hAnsi="Arial" w:cs="Arial"/>
          <w:szCs w:val="24"/>
        </w:rPr>
      </w:pPr>
    </w:p>
    <w:p w14:paraId="1C32A528" w14:textId="77777777" w:rsidR="009B1DCC" w:rsidRPr="009B1DCC" w:rsidRDefault="009B1DCC" w:rsidP="009B1DCC">
      <w:pPr>
        <w:rPr>
          <w:rFonts w:ascii="Arial" w:hAnsi="Arial" w:cs="Arial"/>
          <w:szCs w:val="24"/>
        </w:rPr>
      </w:pPr>
      <w:r w:rsidRPr="009B1DCC">
        <w:rPr>
          <w:rFonts w:ascii="Arial" w:hAnsi="Arial" w:cs="Arial"/>
          <w:szCs w:val="24"/>
        </w:rPr>
        <w:t xml:space="preserve">El citado tributo, cuyo hecho generador está constituido por la propiedad o posesión de vehículos gravados matriculados en Bogotá, es administrado y controlado por los departamentos y el Distrito Capital. La base gravable del tributo que se examina, está constituida por el valor comercial de los vehículos gravados, establecido anualmente mediante resolución expedida en el mes de noviembre del año inmediatamente anterior al gravable. </w:t>
      </w:r>
      <w:sdt>
        <w:sdtPr>
          <w:rPr>
            <w:rFonts w:ascii="Arial" w:hAnsi="Arial" w:cs="Arial"/>
            <w:szCs w:val="24"/>
          </w:rPr>
          <w:id w:val="-312104836"/>
          <w:citation/>
        </w:sdtPr>
        <w:sdtEndPr/>
        <w:sdtContent>
          <w:r w:rsidRPr="009B1DCC">
            <w:rPr>
              <w:rFonts w:ascii="Arial" w:hAnsi="Arial" w:cs="Arial"/>
              <w:szCs w:val="24"/>
            </w:rPr>
            <w:fldChar w:fldCharType="begin"/>
          </w:r>
          <w:r w:rsidRPr="009B1DCC">
            <w:rPr>
              <w:rFonts w:ascii="Arial" w:hAnsi="Arial" w:cs="Arial"/>
              <w:szCs w:val="24"/>
            </w:rPr>
            <w:instrText xml:space="preserve"> CITATION Alc16 \l 9226 </w:instrText>
          </w:r>
          <w:r w:rsidRPr="009B1DCC">
            <w:rPr>
              <w:rFonts w:ascii="Arial" w:hAnsi="Arial" w:cs="Arial"/>
              <w:szCs w:val="24"/>
            </w:rPr>
            <w:fldChar w:fldCharType="separate"/>
          </w:r>
          <w:r w:rsidRPr="009B1DCC">
            <w:rPr>
              <w:rFonts w:ascii="Arial" w:hAnsi="Arial" w:cs="Arial"/>
              <w:noProof/>
              <w:szCs w:val="24"/>
            </w:rPr>
            <w:t>(Alcaldía de Bogotá, 2016)</w:t>
          </w:r>
          <w:r w:rsidRPr="009B1DCC">
            <w:rPr>
              <w:rFonts w:ascii="Arial" w:hAnsi="Arial" w:cs="Arial"/>
              <w:szCs w:val="24"/>
            </w:rPr>
            <w:fldChar w:fldCharType="end"/>
          </w:r>
        </w:sdtContent>
      </w:sdt>
      <w:r w:rsidRPr="009B1DCC">
        <w:rPr>
          <w:rFonts w:ascii="Arial" w:hAnsi="Arial" w:cs="Arial"/>
          <w:szCs w:val="24"/>
        </w:rPr>
        <w:t xml:space="preserve"> </w:t>
      </w:r>
    </w:p>
    <w:p w14:paraId="611F8FEC" w14:textId="77777777" w:rsidR="00A42E5D" w:rsidRDefault="00A42E5D" w:rsidP="009B1DCC">
      <w:pPr>
        <w:rPr>
          <w:rFonts w:ascii="Arial" w:eastAsiaTheme="majorEastAsia" w:hAnsi="Arial" w:cs="Arial"/>
          <w:b/>
          <w:bCs/>
          <w:color w:val="FF0000"/>
          <w:szCs w:val="24"/>
          <w:lang w:eastAsia="es-CO"/>
        </w:rPr>
      </w:pPr>
    </w:p>
    <w:p w14:paraId="5DF6A627" w14:textId="77777777" w:rsidR="009B1DCC" w:rsidRPr="009B1DCC" w:rsidRDefault="009B1DCC" w:rsidP="009B1DCC">
      <w:pPr>
        <w:rPr>
          <w:rFonts w:ascii="Arial" w:eastAsiaTheme="majorEastAsia" w:hAnsi="Arial" w:cs="Arial"/>
          <w:b/>
          <w:bCs/>
          <w:color w:val="FF0000"/>
          <w:szCs w:val="24"/>
          <w:lang w:eastAsia="es-CO"/>
        </w:rPr>
      </w:pPr>
      <w:bookmarkStart w:id="2" w:name="_GoBack"/>
      <w:bookmarkEnd w:id="2"/>
      <w:r w:rsidRPr="009B1DCC">
        <w:rPr>
          <w:rFonts w:ascii="Arial" w:eastAsiaTheme="majorEastAsia" w:hAnsi="Arial" w:cs="Arial"/>
          <w:b/>
          <w:bCs/>
          <w:color w:val="FF0000"/>
          <w:szCs w:val="24"/>
          <w:lang w:eastAsia="es-CO"/>
        </w:rPr>
        <w:lastRenderedPageBreak/>
        <w:t>Pop up 3</w:t>
      </w:r>
    </w:p>
    <w:p w14:paraId="5A510FF7" w14:textId="77777777" w:rsidR="009B1DCC" w:rsidRPr="009B1DCC" w:rsidRDefault="009B1DCC" w:rsidP="009B1DCC">
      <w:pPr>
        <w:pStyle w:val="Heading3"/>
        <w:numPr>
          <w:ilvl w:val="0"/>
          <w:numId w:val="0"/>
        </w:numPr>
        <w:rPr>
          <w:rFonts w:ascii="Arial" w:hAnsi="Arial" w:cs="Arial"/>
          <w:b/>
          <w:sz w:val="22"/>
          <w:szCs w:val="24"/>
        </w:rPr>
      </w:pPr>
      <w:bookmarkStart w:id="3" w:name="_Toc508475580"/>
      <w:r w:rsidRPr="009B1DCC">
        <w:rPr>
          <w:rFonts w:ascii="Arial" w:hAnsi="Arial" w:cs="Arial"/>
          <w:b/>
          <w:sz w:val="22"/>
          <w:szCs w:val="24"/>
        </w:rPr>
        <w:t>Retención de ICA</w:t>
      </w:r>
      <w:bookmarkEnd w:id="3"/>
    </w:p>
    <w:p w14:paraId="72DE62D9" w14:textId="77777777" w:rsidR="009B1DCC" w:rsidRPr="009B1DCC" w:rsidRDefault="009B1DCC" w:rsidP="009B1DCC">
      <w:pPr>
        <w:rPr>
          <w:rFonts w:ascii="Arial" w:hAnsi="Arial" w:cs="Arial"/>
          <w:szCs w:val="24"/>
        </w:rPr>
      </w:pPr>
    </w:p>
    <w:p w14:paraId="58832327" w14:textId="77777777" w:rsidR="009B1DCC" w:rsidRPr="009B1DCC" w:rsidRDefault="009B1DCC" w:rsidP="009B1DCC">
      <w:pPr>
        <w:rPr>
          <w:rFonts w:ascii="Arial" w:hAnsi="Arial" w:cs="Arial"/>
          <w:szCs w:val="24"/>
        </w:rPr>
      </w:pPr>
      <w:r w:rsidRPr="009B1DCC">
        <w:rPr>
          <w:rFonts w:ascii="Arial" w:hAnsi="Arial" w:cs="Arial"/>
          <w:szCs w:val="24"/>
        </w:rPr>
        <w:t>De acuerdo con Gestión Legal Colombia (2014), este impuesto  tiene la misma periodicidad bimestral que el Impuesto anterior ICA y los mismos vencimientos. Es el anticipo del impuesto de industria y comercio efectuado por el vendedor  y descontado por el comprador en el momento de causar, pagar o abonar en cuenta, las facturas o cuentas de cobro.  La empresa aplica la Retención de ICA a personas naturales por concepto de actividades comerciales y de servicios. El formulario se debe diligenciar en el portal de la Secretaria de Hacienda, luego se debe imprimir y hacer firmar por el representante legal para el pago en bancos, al igual que el de Industria y Comercio.</w:t>
      </w:r>
    </w:p>
    <w:p w14:paraId="39E886FB" w14:textId="77777777" w:rsidR="009B1DCC" w:rsidRPr="009B1DCC" w:rsidRDefault="009B1DCC" w:rsidP="009B1DCC">
      <w:pPr>
        <w:rPr>
          <w:rFonts w:ascii="Arial" w:hAnsi="Arial" w:cs="Arial"/>
          <w:b/>
          <w:color w:val="FF0000"/>
          <w:szCs w:val="24"/>
        </w:rPr>
      </w:pPr>
      <w:r w:rsidRPr="009B1DCC">
        <w:rPr>
          <w:rFonts w:ascii="Arial" w:hAnsi="Arial" w:cs="Arial"/>
          <w:b/>
          <w:color w:val="FF0000"/>
          <w:szCs w:val="24"/>
        </w:rPr>
        <w:t>Pop up 4</w:t>
      </w:r>
    </w:p>
    <w:p w14:paraId="288F0FAB" w14:textId="77777777" w:rsidR="009B1DCC" w:rsidRPr="009B1DCC" w:rsidRDefault="009B1DCC" w:rsidP="009B1DCC">
      <w:pPr>
        <w:pStyle w:val="Heading3"/>
        <w:numPr>
          <w:ilvl w:val="0"/>
          <w:numId w:val="0"/>
        </w:numPr>
        <w:ind w:left="720" w:hanging="720"/>
        <w:rPr>
          <w:rFonts w:ascii="Arial" w:hAnsi="Arial" w:cs="Arial"/>
          <w:b/>
          <w:sz w:val="22"/>
          <w:szCs w:val="24"/>
        </w:rPr>
      </w:pPr>
      <w:bookmarkStart w:id="4" w:name="_Toc508475581"/>
      <w:r w:rsidRPr="009B1DCC">
        <w:rPr>
          <w:rFonts w:ascii="Arial" w:hAnsi="Arial" w:cs="Arial"/>
          <w:b/>
          <w:sz w:val="22"/>
          <w:szCs w:val="24"/>
        </w:rPr>
        <w:t>El Impuesto de Industria y Comercio</w:t>
      </w:r>
      <w:bookmarkEnd w:id="4"/>
      <w:r w:rsidRPr="009B1DCC">
        <w:rPr>
          <w:rFonts w:ascii="Arial" w:hAnsi="Arial" w:cs="Arial"/>
          <w:b/>
          <w:sz w:val="22"/>
          <w:szCs w:val="24"/>
        </w:rPr>
        <w:t xml:space="preserve"> </w:t>
      </w:r>
    </w:p>
    <w:p w14:paraId="1358EDB6" w14:textId="77777777" w:rsidR="009B1DCC" w:rsidRPr="009B1DCC" w:rsidRDefault="009B1DCC" w:rsidP="009B1DCC">
      <w:pPr>
        <w:rPr>
          <w:rFonts w:ascii="Arial" w:hAnsi="Arial" w:cs="Arial"/>
          <w:szCs w:val="24"/>
        </w:rPr>
      </w:pPr>
    </w:p>
    <w:p w14:paraId="55A429BF" w14:textId="77777777" w:rsidR="009B1DCC" w:rsidRPr="009B1DCC" w:rsidRDefault="009B1DCC" w:rsidP="009B1DCC">
      <w:pPr>
        <w:rPr>
          <w:rFonts w:ascii="Arial" w:hAnsi="Arial" w:cs="Arial"/>
          <w:szCs w:val="24"/>
        </w:rPr>
      </w:pPr>
      <w:r w:rsidRPr="009B1DCC">
        <w:rPr>
          <w:rFonts w:ascii="Arial" w:hAnsi="Arial" w:cs="Arial"/>
          <w:szCs w:val="24"/>
        </w:rPr>
        <w:t xml:space="preserve">Este impuesto grava el desarrollo de actividades industriales, comerciales y de servicios dentro del distrito capital. Para realizar el cálculo, se toman los Ingresos y se multiplica por la tarifa de acuerdo a la actividad económica que desarrolla la empresa </w:t>
      </w:r>
      <w:sdt>
        <w:sdtPr>
          <w:rPr>
            <w:rFonts w:ascii="Arial" w:hAnsi="Arial" w:cs="Arial"/>
            <w:szCs w:val="24"/>
          </w:rPr>
          <w:id w:val="929392169"/>
          <w:citation/>
        </w:sdtPr>
        <w:sdtEndPr/>
        <w:sdtContent>
          <w:r w:rsidRPr="009B1DCC">
            <w:rPr>
              <w:rFonts w:ascii="Arial" w:hAnsi="Arial" w:cs="Arial"/>
              <w:szCs w:val="24"/>
            </w:rPr>
            <w:fldChar w:fldCharType="begin"/>
          </w:r>
          <w:r w:rsidRPr="009B1DCC">
            <w:rPr>
              <w:rFonts w:ascii="Arial" w:hAnsi="Arial" w:cs="Arial"/>
              <w:szCs w:val="24"/>
            </w:rPr>
            <w:instrText xml:space="preserve"> CITATION Ges14 \l 9226 </w:instrText>
          </w:r>
          <w:r w:rsidRPr="009B1DCC">
            <w:rPr>
              <w:rFonts w:ascii="Arial" w:hAnsi="Arial" w:cs="Arial"/>
              <w:szCs w:val="24"/>
            </w:rPr>
            <w:fldChar w:fldCharType="separate"/>
          </w:r>
          <w:r w:rsidRPr="009B1DCC">
            <w:rPr>
              <w:rFonts w:ascii="Arial" w:hAnsi="Arial" w:cs="Arial"/>
              <w:noProof/>
              <w:szCs w:val="24"/>
            </w:rPr>
            <w:t>( Gestion Legal Colombia. Abogados Consultores , 2014)</w:t>
          </w:r>
          <w:r w:rsidRPr="009B1DCC">
            <w:rPr>
              <w:rFonts w:ascii="Arial" w:hAnsi="Arial" w:cs="Arial"/>
              <w:szCs w:val="24"/>
            </w:rPr>
            <w:fldChar w:fldCharType="end"/>
          </w:r>
        </w:sdtContent>
      </w:sdt>
      <w:r w:rsidRPr="009B1DCC">
        <w:rPr>
          <w:rFonts w:ascii="Arial" w:hAnsi="Arial" w:cs="Arial"/>
          <w:szCs w:val="24"/>
        </w:rPr>
        <w:t>.</w:t>
      </w:r>
    </w:p>
    <w:p w14:paraId="15E25AEF" w14:textId="77777777" w:rsidR="009B1DCC" w:rsidRPr="009B1DCC" w:rsidRDefault="009B1DCC" w:rsidP="009B1DCC">
      <w:pPr>
        <w:rPr>
          <w:rFonts w:ascii="Arial" w:hAnsi="Arial" w:cs="Arial"/>
          <w:szCs w:val="24"/>
        </w:rPr>
      </w:pPr>
      <w:r w:rsidRPr="009B1DCC">
        <w:rPr>
          <w:rFonts w:ascii="Arial" w:hAnsi="Arial" w:cs="Arial"/>
          <w:szCs w:val="24"/>
        </w:rPr>
        <w:t xml:space="preserve">Para los efectos del impuesto de industria y comercio y de los demás impuestos distritales, que se originen en relación con los bienes o con actividades radicados o realizados a través de patrimonios autónomos, constituidos en virtud de fiducia mercantil, el fideicomitente o titular de los derechos fiduciarios, será responsable en el pago de impuestos, intereses, sanciones y actualizaciones derivados de las obligaciones tributarias de los bienes o actividades del patrimonio autónomo. </w:t>
      </w:r>
      <w:sdt>
        <w:sdtPr>
          <w:rPr>
            <w:rFonts w:ascii="Arial" w:hAnsi="Arial" w:cs="Arial"/>
            <w:szCs w:val="24"/>
          </w:rPr>
          <w:id w:val="2139135154"/>
          <w:citation/>
        </w:sdtPr>
        <w:sdtEndPr/>
        <w:sdtContent>
          <w:r w:rsidRPr="009B1DCC">
            <w:rPr>
              <w:rFonts w:ascii="Arial" w:hAnsi="Arial" w:cs="Arial"/>
              <w:szCs w:val="24"/>
            </w:rPr>
            <w:fldChar w:fldCharType="begin"/>
          </w:r>
          <w:r w:rsidRPr="009B1DCC">
            <w:rPr>
              <w:rFonts w:ascii="Arial" w:hAnsi="Arial" w:cs="Arial"/>
              <w:szCs w:val="24"/>
            </w:rPr>
            <w:instrText xml:space="preserve"> CITATION Alc16 \l 9226 </w:instrText>
          </w:r>
          <w:r w:rsidRPr="009B1DCC">
            <w:rPr>
              <w:rFonts w:ascii="Arial" w:hAnsi="Arial" w:cs="Arial"/>
              <w:szCs w:val="24"/>
            </w:rPr>
            <w:fldChar w:fldCharType="separate"/>
          </w:r>
          <w:r w:rsidRPr="009B1DCC">
            <w:rPr>
              <w:rFonts w:ascii="Arial" w:hAnsi="Arial" w:cs="Arial"/>
              <w:noProof/>
              <w:szCs w:val="24"/>
            </w:rPr>
            <w:t>(Alcaldía de Bogotá, 2016)</w:t>
          </w:r>
          <w:r w:rsidRPr="009B1DCC">
            <w:rPr>
              <w:rFonts w:ascii="Arial" w:hAnsi="Arial" w:cs="Arial"/>
              <w:szCs w:val="24"/>
            </w:rPr>
            <w:fldChar w:fldCharType="end"/>
          </w:r>
        </w:sdtContent>
      </w:sdt>
      <w:r w:rsidRPr="009B1DCC">
        <w:rPr>
          <w:rFonts w:ascii="Arial" w:hAnsi="Arial" w:cs="Arial"/>
          <w:szCs w:val="24"/>
        </w:rPr>
        <w:t>.</w:t>
      </w:r>
    </w:p>
    <w:p w14:paraId="27C72E6F" w14:textId="77777777" w:rsidR="009B1DCC" w:rsidRPr="009B1DCC" w:rsidRDefault="009B1DCC" w:rsidP="009B1DCC">
      <w:pPr>
        <w:pStyle w:val="Heading3"/>
        <w:numPr>
          <w:ilvl w:val="0"/>
          <w:numId w:val="0"/>
        </w:numPr>
        <w:rPr>
          <w:rFonts w:ascii="Arial" w:eastAsiaTheme="minorHAnsi" w:hAnsi="Arial" w:cs="Arial"/>
          <w:b/>
          <w:bCs w:val="0"/>
          <w:color w:val="FF0000"/>
          <w:sz w:val="22"/>
          <w:szCs w:val="24"/>
          <w:lang w:eastAsia="en-US"/>
        </w:rPr>
      </w:pPr>
      <w:bookmarkStart w:id="5" w:name="_Toc508475582"/>
      <w:r w:rsidRPr="009B1DCC">
        <w:rPr>
          <w:rFonts w:ascii="Arial" w:eastAsiaTheme="minorHAnsi" w:hAnsi="Arial" w:cs="Arial"/>
          <w:b/>
          <w:bCs w:val="0"/>
          <w:color w:val="FF0000"/>
          <w:sz w:val="22"/>
          <w:szCs w:val="24"/>
          <w:lang w:eastAsia="en-US"/>
        </w:rPr>
        <w:t>Pop up 5</w:t>
      </w:r>
    </w:p>
    <w:p w14:paraId="1F4D273A" w14:textId="77777777" w:rsidR="009B1DCC" w:rsidRPr="009B1DCC" w:rsidRDefault="009B1DCC" w:rsidP="009B1DCC">
      <w:pPr>
        <w:pStyle w:val="Heading3"/>
        <w:numPr>
          <w:ilvl w:val="0"/>
          <w:numId w:val="0"/>
        </w:numPr>
        <w:rPr>
          <w:rFonts w:ascii="Arial" w:hAnsi="Arial" w:cs="Arial"/>
          <w:b/>
          <w:sz w:val="22"/>
          <w:szCs w:val="24"/>
        </w:rPr>
      </w:pPr>
      <w:r w:rsidRPr="009B1DCC">
        <w:rPr>
          <w:rFonts w:ascii="Arial" w:hAnsi="Arial" w:cs="Arial"/>
          <w:b/>
          <w:sz w:val="22"/>
          <w:szCs w:val="24"/>
        </w:rPr>
        <w:t>Información Exógena Distrital</w:t>
      </w:r>
      <w:bookmarkEnd w:id="5"/>
    </w:p>
    <w:p w14:paraId="6DE699CF" w14:textId="77777777" w:rsidR="009B1DCC" w:rsidRPr="009B1DCC" w:rsidRDefault="009B1DCC" w:rsidP="009B1DCC">
      <w:pPr>
        <w:rPr>
          <w:rFonts w:ascii="Arial" w:hAnsi="Arial" w:cs="Arial"/>
          <w:szCs w:val="24"/>
        </w:rPr>
      </w:pPr>
    </w:p>
    <w:p w14:paraId="42A78DD0" w14:textId="77777777" w:rsidR="009B1DCC" w:rsidRPr="009B1DCC" w:rsidRDefault="009B1DCC" w:rsidP="009B1DCC">
      <w:pPr>
        <w:rPr>
          <w:rFonts w:ascii="Arial" w:hAnsi="Arial" w:cs="Arial"/>
          <w:szCs w:val="24"/>
        </w:rPr>
      </w:pPr>
      <w:r w:rsidRPr="009B1DCC">
        <w:rPr>
          <w:rFonts w:ascii="Arial" w:hAnsi="Arial" w:cs="Arial"/>
          <w:szCs w:val="24"/>
        </w:rPr>
        <w:t xml:space="preserve">Es una obligación formal que tienen las empresas con el Distrito capital, que consiste en reportar los terceros con los que tuvo operaciones el año anterior. </w:t>
      </w:r>
      <w:sdt>
        <w:sdtPr>
          <w:rPr>
            <w:rFonts w:ascii="Arial" w:hAnsi="Arial" w:cs="Arial"/>
            <w:szCs w:val="24"/>
          </w:rPr>
          <w:id w:val="1838651190"/>
          <w:citation/>
        </w:sdtPr>
        <w:sdtEndPr/>
        <w:sdtContent>
          <w:r w:rsidRPr="009B1DCC">
            <w:rPr>
              <w:rFonts w:ascii="Arial" w:hAnsi="Arial" w:cs="Arial"/>
              <w:szCs w:val="24"/>
            </w:rPr>
            <w:fldChar w:fldCharType="begin"/>
          </w:r>
          <w:r w:rsidRPr="009B1DCC">
            <w:rPr>
              <w:rFonts w:ascii="Arial" w:hAnsi="Arial" w:cs="Arial"/>
              <w:szCs w:val="24"/>
            </w:rPr>
            <w:instrText xml:space="preserve"> CITATION Ges14 \l 9226 </w:instrText>
          </w:r>
          <w:r w:rsidRPr="009B1DCC">
            <w:rPr>
              <w:rFonts w:ascii="Arial" w:hAnsi="Arial" w:cs="Arial"/>
              <w:szCs w:val="24"/>
            </w:rPr>
            <w:fldChar w:fldCharType="separate"/>
          </w:r>
          <w:r w:rsidRPr="009B1DCC">
            <w:rPr>
              <w:rFonts w:ascii="Arial" w:hAnsi="Arial" w:cs="Arial"/>
              <w:noProof/>
              <w:szCs w:val="24"/>
            </w:rPr>
            <w:t>( Gestion Legal Colombia. Abogados Consultores , 2014)</w:t>
          </w:r>
          <w:r w:rsidRPr="009B1DCC">
            <w:rPr>
              <w:rFonts w:ascii="Arial" w:hAnsi="Arial" w:cs="Arial"/>
              <w:szCs w:val="24"/>
            </w:rPr>
            <w:fldChar w:fldCharType="end"/>
          </w:r>
        </w:sdtContent>
      </w:sdt>
      <w:r w:rsidRPr="009B1DCC">
        <w:rPr>
          <w:rFonts w:ascii="Arial" w:hAnsi="Arial" w:cs="Arial"/>
          <w:szCs w:val="24"/>
        </w:rPr>
        <w:t>.</w:t>
      </w:r>
    </w:p>
    <w:p w14:paraId="30F848E5" w14:textId="77777777" w:rsidR="009B1DCC" w:rsidRDefault="009B1DCC" w:rsidP="009B1DCC"/>
    <w:p w14:paraId="401134FC" w14:textId="77777777" w:rsidR="009B1DCC" w:rsidRDefault="009B1DCC"/>
    <w:sectPr w:rsidR="009B1D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63A62"/>
    <w:multiLevelType w:val="multilevel"/>
    <w:tmpl w:val="D41E1006"/>
    <w:lvl w:ilvl="0">
      <w:start w:val="1"/>
      <w:numFmt w:val="decimal"/>
      <w:pStyle w:val="Heading1"/>
      <w:lvlText w:val="%1"/>
      <w:lvlJc w:val="left"/>
      <w:pPr>
        <w:ind w:left="432" w:hanging="432"/>
      </w:pPr>
    </w:lvl>
    <w:lvl w:ilvl="1">
      <w:start w:val="1"/>
      <w:numFmt w:val="decimal"/>
      <w:pStyle w:val="Heading2"/>
      <w:lvlText w:val="%1.%2"/>
      <w:lvlJc w:val="left"/>
      <w:pPr>
        <w:ind w:left="2987"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DCC"/>
    <w:rsid w:val="00575BF6"/>
    <w:rsid w:val="009B1DCC"/>
    <w:rsid w:val="00A42E5D"/>
    <w:rsid w:val="00A43642"/>
    <w:rsid w:val="00FB49A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EFF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9B1DCC"/>
    <w:pPr>
      <w:keepNext/>
      <w:keepLines/>
      <w:numPr>
        <w:numId w:val="1"/>
      </w:numPr>
      <w:spacing w:before="480" w:after="0" w:line="240" w:lineRule="auto"/>
      <w:outlineLvl w:val="0"/>
    </w:pPr>
    <w:rPr>
      <w:rFonts w:ascii="Times New Roman" w:eastAsiaTheme="majorEastAsia" w:hAnsi="Times New Roman" w:cstheme="majorBidi"/>
      <w:b/>
      <w:bCs/>
      <w:sz w:val="24"/>
      <w:szCs w:val="32"/>
      <w:lang w:eastAsia="es-CO"/>
    </w:rPr>
  </w:style>
  <w:style w:type="paragraph" w:styleId="Heading2">
    <w:name w:val="heading 2"/>
    <w:basedOn w:val="Normal"/>
    <w:next w:val="Normal"/>
    <w:link w:val="Heading2Char"/>
    <w:autoRedefine/>
    <w:uiPriority w:val="9"/>
    <w:unhideWhenUsed/>
    <w:qFormat/>
    <w:rsid w:val="009B1DCC"/>
    <w:pPr>
      <w:keepNext/>
      <w:keepLines/>
      <w:numPr>
        <w:ilvl w:val="1"/>
        <w:numId w:val="1"/>
      </w:numPr>
      <w:spacing w:before="200" w:after="0" w:line="240" w:lineRule="auto"/>
      <w:ind w:left="576"/>
      <w:outlineLvl w:val="1"/>
    </w:pPr>
    <w:rPr>
      <w:rFonts w:ascii="Times New Roman" w:eastAsiaTheme="majorEastAsia" w:hAnsi="Times New Roman" w:cstheme="majorBidi"/>
      <w:b/>
      <w:bCs/>
      <w:sz w:val="24"/>
      <w:szCs w:val="26"/>
      <w:lang w:eastAsia="es-CO"/>
    </w:rPr>
  </w:style>
  <w:style w:type="paragraph" w:styleId="Heading3">
    <w:name w:val="heading 3"/>
    <w:basedOn w:val="Normal"/>
    <w:next w:val="Normal"/>
    <w:link w:val="Heading3Char"/>
    <w:uiPriority w:val="9"/>
    <w:unhideWhenUsed/>
    <w:qFormat/>
    <w:rsid w:val="009B1DCC"/>
    <w:pPr>
      <w:keepNext/>
      <w:keepLines/>
      <w:numPr>
        <w:ilvl w:val="2"/>
        <w:numId w:val="1"/>
      </w:numPr>
      <w:spacing w:before="200" w:after="0" w:line="240" w:lineRule="auto"/>
      <w:outlineLvl w:val="2"/>
    </w:pPr>
    <w:rPr>
      <w:rFonts w:ascii="Times New Roman" w:eastAsiaTheme="majorEastAsia" w:hAnsi="Times New Roman" w:cstheme="majorBidi"/>
      <w:bCs/>
      <w:color w:val="000000" w:themeColor="text1"/>
      <w:sz w:val="24"/>
      <w:szCs w:val="20"/>
      <w:lang w:eastAsia="es-CO"/>
    </w:rPr>
  </w:style>
  <w:style w:type="paragraph" w:styleId="Heading4">
    <w:name w:val="heading 4"/>
    <w:basedOn w:val="Normal"/>
    <w:next w:val="Normal"/>
    <w:link w:val="Heading4Char"/>
    <w:uiPriority w:val="9"/>
    <w:unhideWhenUsed/>
    <w:qFormat/>
    <w:rsid w:val="009B1DCC"/>
    <w:pPr>
      <w:keepNext/>
      <w:keepLines/>
      <w:numPr>
        <w:ilvl w:val="3"/>
        <w:numId w:val="1"/>
      </w:numPr>
      <w:spacing w:before="200" w:after="0" w:line="240" w:lineRule="auto"/>
      <w:outlineLvl w:val="3"/>
    </w:pPr>
    <w:rPr>
      <w:rFonts w:ascii="Times New Roman" w:eastAsiaTheme="majorEastAsia" w:hAnsi="Times New Roman" w:cstheme="majorBidi"/>
      <w:bCs/>
      <w:i/>
      <w:iCs/>
      <w:sz w:val="24"/>
      <w:szCs w:val="20"/>
      <w:lang w:eastAsia="es-CO"/>
    </w:rPr>
  </w:style>
  <w:style w:type="paragraph" w:styleId="Heading5">
    <w:name w:val="heading 5"/>
    <w:basedOn w:val="Normal"/>
    <w:next w:val="Normal"/>
    <w:link w:val="Heading5Char"/>
    <w:uiPriority w:val="9"/>
    <w:semiHidden/>
    <w:unhideWhenUsed/>
    <w:qFormat/>
    <w:rsid w:val="009B1DCC"/>
    <w:pPr>
      <w:keepNext/>
      <w:keepLines/>
      <w:numPr>
        <w:ilvl w:val="4"/>
        <w:numId w:val="1"/>
      </w:numPr>
      <w:spacing w:before="200" w:after="0" w:line="240" w:lineRule="auto"/>
      <w:jc w:val="both"/>
      <w:outlineLvl w:val="4"/>
    </w:pPr>
    <w:rPr>
      <w:rFonts w:asciiTheme="majorHAnsi" w:eastAsiaTheme="majorEastAsia" w:hAnsiTheme="majorHAnsi" w:cstheme="majorBidi"/>
      <w:color w:val="1F3763" w:themeColor="accent1" w:themeShade="7F"/>
      <w:sz w:val="24"/>
      <w:szCs w:val="20"/>
      <w:lang w:eastAsia="es-CO"/>
    </w:rPr>
  </w:style>
  <w:style w:type="paragraph" w:styleId="Heading6">
    <w:name w:val="heading 6"/>
    <w:basedOn w:val="Normal"/>
    <w:next w:val="Normal"/>
    <w:link w:val="Heading6Char"/>
    <w:uiPriority w:val="9"/>
    <w:semiHidden/>
    <w:unhideWhenUsed/>
    <w:qFormat/>
    <w:rsid w:val="009B1DCC"/>
    <w:pPr>
      <w:keepNext/>
      <w:keepLines/>
      <w:numPr>
        <w:ilvl w:val="5"/>
        <w:numId w:val="1"/>
      </w:numPr>
      <w:spacing w:before="200" w:after="0" w:line="240" w:lineRule="auto"/>
      <w:jc w:val="both"/>
      <w:outlineLvl w:val="5"/>
    </w:pPr>
    <w:rPr>
      <w:rFonts w:asciiTheme="majorHAnsi" w:eastAsiaTheme="majorEastAsia" w:hAnsiTheme="majorHAnsi" w:cstheme="majorBidi"/>
      <w:i/>
      <w:iCs/>
      <w:color w:val="1F3763" w:themeColor="accent1" w:themeShade="7F"/>
      <w:sz w:val="24"/>
      <w:szCs w:val="20"/>
      <w:lang w:eastAsia="es-CO"/>
    </w:rPr>
  </w:style>
  <w:style w:type="paragraph" w:styleId="Heading7">
    <w:name w:val="heading 7"/>
    <w:basedOn w:val="Normal"/>
    <w:next w:val="Normal"/>
    <w:link w:val="Heading7Char"/>
    <w:uiPriority w:val="9"/>
    <w:semiHidden/>
    <w:unhideWhenUsed/>
    <w:qFormat/>
    <w:rsid w:val="009B1DCC"/>
    <w:pPr>
      <w:keepNext/>
      <w:keepLines/>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 w:val="24"/>
      <w:szCs w:val="20"/>
      <w:lang w:eastAsia="es-CO"/>
    </w:rPr>
  </w:style>
  <w:style w:type="paragraph" w:styleId="Heading8">
    <w:name w:val="heading 8"/>
    <w:basedOn w:val="Normal"/>
    <w:next w:val="Normal"/>
    <w:link w:val="Heading8Char"/>
    <w:uiPriority w:val="9"/>
    <w:semiHidden/>
    <w:unhideWhenUsed/>
    <w:qFormat/>
    <w:rsid w:val="009B1DCC"/>
    <w:pPr>
      <w:keepNext/>
      <w:keepLines/>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es-CO"/>
    </w:rPr>
  </w:style>
  <w:style w:type="paragraph" w:styleId="Heading9">
    <w:name w:val="heading 9"/>
    <w:basedOn w:val="Normal"/>
    <w:next w:val="Normal"/>
    <w:link w:val="Heading9Char"/>
    <w:uiPriority w:val="9"/>
    <w:semiHidden/>
    <w:unhideWhenUsed/>
    <w:qFormat/>
    <w:rsid w:val="009B1DCC"/>
    <w:pPr>
      <w:keepNext/>
      <w:keepLines/>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DCC"/>
    <w:rPr>
      <w:rFonts w:ascii="Times New Roman" w:eastAsiaTheme="majorEastAsia" w:hAnsi="Times New Roman" w:cstheme="majorBidi"/>
      <w:b/>
      <w:bCs/>
      <w:sz w:val="24"/>
      <w:szCs w:val="32"/>
      <w:lang w:eastAsia="es-CO"/>
    </w:rPr>
  </w:style>
  <w:style w:type="character" w:customStyle="1" w:styleId="Heading2Char">
    <w:name w:val="Heading 2 Char"/>
    <w:basedOn w:val="DefaultParagraphFont"/>
    <w:link w:val="Heading2"/>
    <w:uiPriority w:val="9"/>
    <w:rsid w:val="009B1DCC"/>
    <w:rPr>
      <w:rFonts w:ascii="Times New Roman" w:eastAsiaTheme="majorEastAsia" w:hAnsi="Times New Roman" w:cstheme="majorBidi"/>
      <w:b/>
      <w:bCs/>
      <w:sz w:val="24"/>
      <w:szCs w:val="26"/>
      <w:lang w:eastAsia="es-CO"/>
    </w:rPr>
  </w:style>
  <w:style w:type="character" w:customStyle="1" w:styleId="Heading3Char">
    <w:name w:val="Heading 3 Char"/>
    <w:basedOn w:val="DefaultParagraphFont"/>
    <w:link w:val="Heading3"/>
    <w:uiPriority w:val="9"/>
    <w:rsid w:val="009B1DCC"/>
    <w:rPr>
      <w:rFonts w:ascii="Times New Roman" w:eastAsiaTheme="majorEastAsia" w:hAnsi="Times New Roman" w:cstheme="majorBidi"/>
      <w:bCs/>
      <w:color w:val="000000" w:themeColor="text1"/>
      <w:sz w:val="24"/>
      <w:szCs w:val="20"/>
      <w:lang w:eastAsia="es-CO"/>
    </w:rPr>
  </w:style>
  <w:style w:type="character" w:customStyle="1" w:styleId="Heading4Char">
    <w:name w:val="Heading 4 Char"/>
    <w:basedOn w:val="DefaultParagraphFont"/>
    <w:link w:val="Heading4"/>
    <w:uiPriority w:val="9"/>
    <w:rsid w:val="009B1DCC"/>
    <w:rPr>
      <w:rFonts w:ascii="Times New Roman" w:eastAsiaTheme="majorEastAsia" w:hAnsi="Times New Roman" w:cstheme="majorBidi"/>
      <w:bCs/>
      <w:i/>
      <w:iCs/>
      <w:sz w:val="24"/>
      <w:szCs w:val="20"/>
      <w:lang w:eastAsia="es-CO"/>
    </w:rPr>
  </w:style>
  <w:style w:type="character" w:customStyle="1" w:styleId="Heading5Char">
    <w:name w:val="Heading 5 Char"/>
    <w:basedOn w:val="DefaultParagraphFont"/>
    <w:link w:val="Heading5"/>
    <w:uiPriority w:val="9"/>
    <w:semiHidden/>
    <w:rsid w:val="009B1DCC"/>
    <w:rPr>
      <w:rFonts w:asciiTheme="majorHAnsi" w:eastAsiaTheme="majorEastAsia" w:hAnsiTheme="majorHAnsi" w:cstheme="majorBidi"/>
      <w:color w:val="1F3763" w:themeColor="accent1" w:themeShade="7F"/>
      <w:sz w:val="24"/>
      <w:szCs w:val="20"/>
      <w:lang w:eastAsia="es-CO"/>
    </w:rPr>
  </w:style>
  <w:style w:type="character" w:customStyle="1" w:styleId="Heading6Char">
    <w:name w:val="Heading 6 Char"/>
    <w:basedOn w:val="DefaultParagraphFont"/>
    <w:link w:val="Heading6"/>
    <w:uiPriority w:val="9"/>
    <w:semiHidden/>
    <w:rsid w:val="009B1DCC"/>
    <w:rPr>
      <w:rFonts w:asciiTheme="majorHAnsi" w:eastAsiaTheme="majorEastAsia" w:hAnsiTheme="majorHAnsi" w:cstheme="majorBidi"/>
      <w:i/>
      <w:iCs/>
      <w:color w:val="1F3763" w:themeColor="accent1" w:themeShade="7F"/>
      <w:sz w:val="24"/>
      <w:szCs w:val="20"/>
      <w:lang w:eastAsia="es-CO"/>
    </w:rPr>
  </w:style>
  <w:style w:type="character" w:customStyle="1" w:styleId="Heading7Char">
    <w:name w:val="Heading 7 Char"/>
    <w:basedOn w:val="DefaultParagraphFont"/>
    <w:link w:val="Heading7"/>
    <w:uiPriority w:val="9"/>
    <w:semiHidden/>
    <w:rsid w:val="009B1DCC"/>
    <w:rPr>
      <w:rFonts w:asciiTheme="majorHAnsi" w:eastAsiaTheme="majorEastAsia" w:hAnsiTheme="majorHAnsi" w:cstheme="majorBidi"/>
      <w:i/>
      <w:iCs/>
      <w:color w:val="404040" w:themeColor="text1" w:themeTint="BF"/>
      <w:sz w:val="24"/>
      <w:szCs w:val="20"/>
      <w:lang w:eastAsia="es-CO"/>
    </w:rPr>
  </w:style>
  <w:style w:type="character" w:customStyle="1" w:styleId="Heading8Char">
    <w:name w:val="Heading 8 Char"/>
    <w:basedOn w:val="DefaultParagraphFont"/>
    <w:link w:val="Heading8"/>
    <w:uiPriority w:val="9"/>
    <w:semiHidden/>
    <w:rsid w:val="009B1DCC"/>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9B1DCC"/>
    <w:rPr>
      <w:rFonts w:asciiTheme="majorHAnsi" w:eastAsiaTheme="majorEastAsia" w:hAnsiTheme="majorHAnsi" w:cstheme="majorBidi"/>
      <w:i/>
      <w:iCs/>
      <w:color w:val="404040" w:themeColor="text1" w:themeTint="BF"/>
      <w:sz w:val="20"/>
      <w:szCs w:val="20"/>
      <w:lang w:eastAsia="es-CO"/>
    </w:rPr>
  </w:style>
  <w:style w:type="paragraph" w:styleId="Caption">
    <w:name w:val="caption"/>
    <w:basedOn w:val="Normal"/>
    <w:next w:val="Normal"/>
    <w:uiPriority w:val="35"/>
    <w:unhideWhenUsed/>
    <w:qFormat/>
    <w:rsid w:val="009B1DCC"/>
    <w:pPr>
      <w:spacing w:after="200" w:line="240" w:lineRule="auto"/>
      <w:jc w:val="both"/>
    </w:pPr>
    <w:rPr>
      <w:rFonts w:ascii="Times New Roman" w:eastAsia="Times New Roman" w:hAnsi="Times New Roman" w:cs="Times New Roman"/>
      <w:bCs/>
      <w:sz w:val="16"/>
      <w:szCs w:val="18"/>
      <w:lang w:eastAsia="es-CO"/>
    </w:rPr>
  </w:style>
  <w:style w:type="character" w:styleId="Hyperlink">
    <w:name w:val="Hyperlink"/>
    <w:basedOn w:val="DefaultParagraphFont"/>
    <w:uiPriority w:val="99"/>
    <w:unhideWhenUsed/>
    <w:rsid w:val="009B1DCC"/>
    <w:rPr>
      <w:color w:val="0563C1" w:themeColor="hyperlink"/>
      <w:u w:val="single"/>
    </w:rPr>
  </w:style>
  <w:style w:type="paragraph" w:styleId="BalloonText">
    <w:name w:val="Balloon Text"/>
    <w:basedOn w:val="Normal"/>
    <w:link w:val="BalloonTextChar"/>
    <w:uiPriority w:val="99"/>
    <w:semiHidden/>
    <w:unhideWhenUsed/>
    <w:rsid w:val="00575BF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BF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9B1DCC"/>
    <w:pPr>
      <w:keepNext/>
      <w:keepLines/>
      <w:numPr>
        <w:numId w:val="1"/>
      </w:numPr>
      <w:spacing w:before="480" w:after="0" w:line="240" w:lineRule="auto"/>
      <w:outlineLvl w:val="0"/>
    </w:pPr>
    <w:rPr>
      <w:rFonts w:ascii="Times New Roman" w:eastAsiaTheme="majorEastAsia" w:hAnsi="Times New Roman" w:cstheme="majorBidi"/>
      <w:b/>
      <w:bCs/>
      <w:sz w:val="24"/>
      <w:szCs w:val="32"/>
      <w:lang w:eastAsia="es-CO"/>
    </w:rPr>
  </w:style>
  <w:style w:type="paragraph" w:styleId="Heading2">
    <w:name w:val="heading 2"/>
    <w:basedOn w:val="Normal"/>
    <w:next w:val="Normal"/>
    <w:link w:val="Heading2Char"/>
    <w:autoRedefine/>
    <w:uiPriority w:val="9"/>
    <w:unhideWhenUsed/>
    <w:qFormat/>
    <w:rsid w:val="009B1DCC"/>
    <w:pPr>
      <w:keepNext/>
      <w:keepLines/>
      <w:numPr>
        <w:ilvl w:val="1"/>
        <w:numId w:val="1"/>
      </w:numPr>
      <w:spacing w:before="200" w:after="0" w:line="240" w:lineRule="auto"/>
      <w:ind w:left="576"/>
      <w:outlineLvl w:val="1"/>
    </w:pPr>
    <w:rPr>
      <w:rFonts w:ascii="Times New Roman" w:eastAsiaTheme="majorEastAsia" w:hAnsi="Times New Roman" w:cstheme="majorBidi"/>
      <w:b/>
      <w:bCs/>
      <w:sz w:val="24"/>
      <w:szCs w:val="26"/>
      <w:lang w:eastAsia="es-CO"/>
    </w:rPr>
  </w:style>
  <w:style w:type="paragraph" w:styleId="Heading3">
    <w:name w:val="heading 3"/>
    <w:basedOn w:val="Normal"/>
    <w:next w:val="Normal"/>
    <w:link w:val="Heading3Char"/>
    <w:uiPriority w:val="9"/>
    <w:unhideWhenUsed/>
    <w:qFormat/>
    <w:rsid w:val="009B1DCC"/>
    <w:pPr>
      <w:keepNext/>
      <w:keepLines/>
      <w:numPr>
        <w:ilvl w:val="2"/>
        <w:numId w:val="1"/>
      </w:numPr>
      <w:spacing w:before="200" w:after="0" w:line="240" w:lineRule="auto"/>
      <w:outlineLvl w:val="2"/>
    </w:pPr>
    <w:rPr>
      <w:rFonts w:ascii="Times New Roman" w:eastAsiaTheme="majorEastAsia" w:hAnsi="Times New Roman" w:cstheme="majorBidi"/>
      <w:bCs/>
      <w:color w:val="000000" w:themeColor="text1"/>
      <w:sz w:val="24"/>
      <w:szCs w:val="20"/>
      <w:lang w:eastAsia="es-CO"/>
    </w:rPr>
  </w:style>
  <w:style w:type="paragraph" w:styleId="Heading4">
    <w:name w:val="heading 4"/>
    <w:basedOn w:val="Normal"/>
    <w:next w:val="Normal"/>
    <w:link w:val="Heading4Char"/>
    <w:uiPriority w:val="9"/>
    <w:unhideWhenUsed/>
    <w:qFormat/>
    <w:rsid w:val="009B1DCC"/>
    <w:pPr>
      <w:keepNext/>
      <w:keepLines/>
      <w:numPr>
        <w:ilvl w:val="3"/>
        <w:numId w:val="1"/>
      </w:numPr>
      <w:spacing w:before="200" w:after="0" w:line="240" w:lineRule="auto"/>
      <w:outlineLvl w:val="3"/>
    </w:pPr>
    <w:rPr>
      <w:rFonts w:ascii="Times New Roman" w:eastAsiaTheme="majorEastAsia" w:hAnsi="Times New Roman" w:cstheme="majorBidi"/>
      <w:bCs/>
      <w:i/>
      <w:iCs/>
      <w:sz w:val="24"/>
      <w:szCs w:val="20"/>
      <w:lang w:eastAsia="es-CO"/>
    </w:rPr>
  </w:style>
  <w:style w:type="paragraph" w:styleId="Heading5">
    <w:name w:val="heading 5"/>
    <w:basedOn w:val="Normal"/>
    <w:next w:val="Normal"/>
    <w:link w:val="Heading5Char"/>
    <w:uiPriority w:val="9"/>
    <w:semiHidden/>
    <w:unhideWhenUsed/>
    <w:qFormat/>
    <w:rsid w:val="009B1DCC"/>
    <w:pPr>
      <w:keepNext/>
      <w:keepLines/>
      <w:numPr>
        <w:ilvl w:val="4"/>
        <w:numId w:val="1"/>
      </w:numPr>
      <w:spacing w:before="200" w:after="0" w:line="240" w:lineRule="auto"/>
      <w:jc w:val="both"/>
      <w:outlineLvl w:val="4"/>
    </w:pPr>
    <w:rPr>
      <w:rFonts w:asciiTheme="majorHAnsi" w:eastAsiaTheme="majorEastAsia" w:hAnsiTheme="majorHAnsi" w:cstheme="majorBidi"/>
      <w:color w:val="1F3763" w:themeColor="accent1" w:themeShade="7F"/>
      <w:sz w:val="24"/>
      <w:szCs w:val="20"/>
      <w:lang w:eastAsia="es-CO"/>
    </w:rPr>
  </w:style>
  <w:style w:type="paragraph" w:styleId="Heading6">
    <w:name w:val="heading 6"/>
    <w:basedOn w:val="Normal"/>
    <w:next w:val="Normal"/>
    <w:link w:val="Heading6Char"/>
    <w:uiPriority w:val="9"/>
    <w:semiHidden/>
    <w:unhideWhenUsed/>
    <w:qFormat/>
    <w:rsid w:val="009B1DCC"/>
    <w:pPr>
      <w:keepNext/>
      <w:keepLines/>
      <w:numPr>
        <w:ilvl w:val="5"/>
        <w:numId w:val="1"/>
      </w:numPr>
      <w:spacing w:before="200" w:after="0" w:line="240" w:lineRule="auto"/>
      <w:jc w:val="both"/>
      <w:outlineLvl w:val="5"/>
    </w:pPr>
    <w:rPr>
      <w:rFonts w:asciiTheme="majorHAnsi" w:eastAsiaTheme="majorEastAsia" w:hAnsiTheme="majorHAnsi" w:cstheme="majorBidi"/>
      <w:i/>
      <w:iCs/>
      <w:color w:val="1F3763" w:themeColor="accent1" w:themeShade="7F"/>
      <w:sz w:val="24"/>
      <w:szCs w:val="20"/>
      <w:lang w:eastAsia="es-CO"/>
    </w:rPr>
  </w:style>
  <w:style w:type="paragraph" w:styleId="Heading7">
    <w:name w:val="heading 7"/>
    <w:basedOn w:val="Normal"/>
    <w:next w:val="Normal"/>
    <w:link w:val="Heading7Char"/>
    <w:uiPriority w:val="9"/>
    <w:semiHidden/>
    <w:unhideWhenUsed/>
    <w:qFormat/>
    <w:rsid w:val="009B1DCC"/>
    <w:pPr>
      <w:keepNext/>
      <w:keepLines/>
      <w:numPr>
        <w:ilvl w:val="6"/>
        <w:numId w:val="1"/>
      </w:numPr>
      <w:spacing w:before="200" w:after="0" w:line="240" w:lineRule="auto"/>
      <w:jc w:val="both"/>
      <w:outlineLvl w:val="6"/>
    </w:pPr>
    <w:rPr>
      <w:rFonts w:asciiTheme="majorHAnsi" w:eastAsiaTheme="majorEastAsia" w:hAnsiTheme="majorHAnsi" w:cstheme="majorBidi"/>
      <w:i/>
      <w:iCs/>
      <w:color w:val="404040" w:themeColor="text1" w:themeTint="BF"/>
      <w:sz w:val="24"/>
      <w:szCs w:val="20"/>
      <w:lang w:eastAsia="es-CO"/>
    </w:rPr>
  </w:style>
  <w:style w:type="paragraph" w:styleId="Heading8">
    <w:name w:val="heading 8"/>
    <w:basedOn w:val="Normal"/>
    <w:next w:val="Normal"/>
    <w:link w:val="Heading8Char"/>
    <w:uiPriority w:val="9"/>
    <w:semiHidden/>
    <w:unhideWhenUsed/>
    <w:qFormat/>
    <w:rsid w:val="009B1DCC"/>
    <w:pPr>
      <w:keepNext/>
      <w:keepLines/>
      <w:numPr>
        <w:ilvl w:val="7"/>
        <w:numId w:val="1"/>
      </w:numPr>
      <w:spacing w:before="200" w:after="0" w:line="240" w:lineRule="auto"/>
      <w:jc w:val="both"/>
      <w:outlineLvl w:val="7"/>
    </w:pPr>
    <w:rPr>
      <w:rFonts w:asciiTheme="majorHAnsi" w:eastAsiaTheme="majorEastAsia" w:hAnsiTheme="majorHAnsi" w:cstheme="majorBidi"/>
      <w:color w:val="404040" w:themeColor="text1" w:themeTint="BF"/>
      <w:sz w:val="20"/>
      <w:szCs w:val="20"/>
      <w:lang w:eastAsia="es-CO"/>
    </w:rPr>
  </w:style>
  <w:style w:type="paragraph" w:styleId="Heading9">
    <w:name w:val="heading 9"/>
    <w:basedOn w:val="Normal"/>
    <w:next w:val="Normal"/>
    <w:link w:val="Heading9Char"/>
    <w:uiPriority w:val="9"/>
    <w:semiHidden/>
    <w:unhideWhenUsed/>
    <w:qFormat/>
    <w:rsid w:val="009B1DCC"/>
    <w:pPr>
      <w:keepNext/>
      <w:keepLines/>
      <w:numPr>
        <w:ilvl w:val="8"/>
        <w:numId w:val="1"/>
      </w:numPr>
      <w:spacing w:before="200" w:after="0" w:line="240" w:lineRule="auto"/>
      <w:jc w:val="both"/>
      <w:outlineLvl w:val="8"/>
    </w:pPr>
    <w:rPr>
      <w:rFonts w:asciiTheme="majorHAnsi" w:eastAsiaTheme="majorEastAsia" w:hAnsiTheme="majorHAnsi" w:cstheme="majorBidi"/>
      <w:i/>
      <w:iCs/>
      <w:color w:val="404040" w:themeColor="text1" w:themeTint="BF"/>
      <w:sz w:val="20"/>
      <w:szCs w:val="20"/>
      <w:lang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DCC"/>
    <w:rPr>
      <w:rFonts w:ascii="Times New Roman" w:eastAsiaTheme="majorEastAsia" w:hAnsi="Times New Roman" w:cstheme="majorBidi"/>
      <w:b/>
      <w:bCs/>
      <w:sz w:val="24"/>
      <w:szCs w:val="32"/>
      <w:lang w:eastAsia="es-CO"/>
    </w:rPr>
  </w:style>
  <w:style w:type="character" w:customStyle="1" w:styleId="Heading2Char">
    <w:name w:val="Heading 2 Char"/>
    <w:basedOn w:val="DefaultParagraphFont"/>
    <w:link w:val="Heading2"/>
    <w:uiPriority w:val="9"/>
    <w:rsid w:val="009B1DCC"/>
    <w:rPr>
      <w:rFonts w:ascii="Times New Roman" w:eastAsiaTheme="majorEastAsia" w:hAnsi="Times New Roman" w:cstheme="majorBidi"/>
      <w:b/>
      <w:bCs/>
      <w:sz w:val="24"/>
      <w:szCs w:val="26"/>
      <w:lang w:eastAsia="es-CO"/>
    </w:rPr>
  </w:style>
  <w:style w:type="character" w:customStyle="1" w:styleId="Heading3Char">
    <w:name w:val="Heading 3 Char"/>
    <w:basedOn w:val="DefaultParagraphFont"/>
    <w:link w:val="Heading3"/>
    <w:uiPriority w:val="9"/>
    <w:rsid w:val="009B1DCC"/>
    <w:rPr>
      <w:rFonts w:ascii="Times New Roman" w:eastAsiaTheme="majorEastAsia" w:hAnsi="Times New Roman" w:cstheme="majorBidi"/>
      <w:bCs/>
      <w:color w:val="000000" w:themeColor="text1"/>
      <w:sz w:val="24"/>
      <w:szCs w:val="20"/>
      <w:lang w:eastAsia="es-CO"/>
    </w:rPr>
  </w:style>
  <w:style w:type="character" w:customStyle="1" w:styleId="Heading4Char">
    <w:name w:val="Heading 4 Char"/>
    <w:basedOn w:val="DefaultParagraphFont"/>
    <w:link w:val="Heading4"/>
    <w:uiPriority w:val="9"/>
    <w:rsid w:val="009B1DCC"/>
    <w:rPr>
      <w:rFonts w:ascii="Times New Roman" w:eastAsiaTheme="majorEastAsia" w:hAnsi="Times New Roman" w:cstheme="majorBidi"/>
      <w:bCs/>
      <w:i/>
      <w:iCs/>
      <w:sz w:val="24"/>
      <w:szCs w:val="20"/>
      <w:lang w:eastAsia="es-CO"/>
    </w:rPr>
  </w:style>
  <w:style w:type="character" w:customStyle="1" w:styleId="Heading5Char">
    <w:name w:val="Heading 5 Char"/>
    <w:basedOn w:val="DefaultParagraphFont"/>
    <w:link w:val="Heading5"/>
    <w:uiPriority w:val="9"/>
    <w:semiHidden/>
    <w:rsid w:val="009B1DCC"/>
    <w:rPr>
      <w:rFonts w:asciiTheme="majorHAnsi" w:eastAsiaTheme="majorEastAsia" w:hAnsiTheme="majorHAnsi" w:cstheme="majorBidi"/>
      <w:color w:val="1F3763" w:themeColor="accent1" w:themeShade="7F"/>
      <w:sz w:val="24"/>
      <w:szCs w:val="20"/>
      <w:lang w:eastAsia="es-CO"/>
    </w:rPr>
  </w:style>
  <w:style w:type="character" w:customStyle="1" w:styleId="Heading6Char">
    <w:name w:val="Heading 6 Char"/>
    <w:basedOn w:val="DefaultParagraphFont"/>
    <w:link w:val="Heading6"/>
    <w:uiPriority w:val="9"/>
    <w:semiHidden/>
    <w:rsid w:val="009B1DCC"/>
    <w:rPr>
      <w:rFonts w:asciiTheme="majorHAnsi" w:eastAsiaTheme="majorEastAsia" w:hAnsiTheme="majorHAnsi" w:cstheme="majorBidi"/>
      <w:i/>
      <w:iCs/>
      <w:color w:val="1F3763" w:themeColor="accent1" w:themeShade="7F"/>
      <w:sz w:val="24"/>
      <w:szCs w:val="20"/>
      <w:lang w:eastAsia="es-CO"/>
    </w:rPr>
  </w:style>
  <w:style w:type="character" w:customStyle="1" w:styleId="Heading7Char">
    <w:name w:val="Heading 7 Char"/>
    <w:basedOn w:val="DefaultParagraphFont"/>
    <w:link w:val="Heading7"/>
    <w:uiPriority w:val="9"/>
    <w:semiHidden/>
    <w:rsid w:val="009B1DCC"/>
    <w:rPr>
      <w:rFonts w:asciiTheme="majorHAnsi" w:eastAsiaTheme="majorEastAsia" w:hAnsiTheme="majorHAnsi" w:cstheme="majorBidi"/>
      <w:i/>
      <w:iCs/>
      <w:color w:val="404040" w:themeColor="text1" w:themeTint="BF"/>
      <w:sz w:val="24"/>
      <w:szCs w:val="20"/>
      <w:lang w:eastAsia="es-CO"/>
    </w:rPr>
  </w:style>
  <w:style w:type="character" w:customStyle="1" w:styleId="Heading8Char">
    <w:name w:val="Heading 8 Char"/>
    <w:basedOn w:val="DefaultParagraphFont"/>
    <w:link w:val="Heading8"/>
    <w:uiPriority w:val="9"/>
    <w:semiHidden/>
    <w:rsid w:val="009B1DCC"/>
    <w:rPr>
      <w:rFonts w:asciiTheme="majorHAnsi" w:eastAsiaTheme="majorEastAsia" w:hAnsiTheme="majorHAnsi" w:cstheme="majorBidi"/>
      <w:color w:val="404040" w:themeColor="text1" w:themeTint="BF"/>
      <w:sz w:val="20"/>
      <w:szCs w:val="20"/>
      <w:lang w:eastAsia="es-CO"/>
    </w:rPr>
  </w:style>
  <w:style w:type="character" w:customStyle="1" w:styleId="Heading9Char">
    <w:name w:val="Heading 9 Char"/>
    <w:basedOn w:val="DefaultParagraphFont"/>
    <w:link w:val="Heading9"/>
    <w:uiPriority w:val="9"/>
    <w:semiHidden/>
    <w:rsid w:val="009B1DCC"/>
    <w:rPr>
      <w:rFonts w:asciiTheme="majorHAnsi" w:eastAsiaTheme="majorEastAsia" w:hAnsiTheme="majorHAnsi" w:cstheme="majorBidi"/>
      <w:i/>
      <w:iCs/>
      <w:color w:val="404040" w:themeColor="text1" w:themeTint="BF"/>
      <w:sz w:val="20"/>
      <w:szCs w:val="20"/>
      <w:lang w:eastAsia="es-CO"/>
    </w:rPr>
  </w:style>
  <w:style w:type="paragraph" w:styleId="Caption">
    <w:name w:val="caption"/>
    <w:basedOn w:val="Normal"/>
    <w:next w:val="Normal"/>
    <w:uiPriority w:val="35"/>
    <w:unhideWhenUsed/>
    <w:qFormat/>
    <w:rsid w:val="009B1DCC"/>
    <w:pPr>
      <w:spacing w:after="200" w:line="240" w:lineRule="auto"/>
      <w:jc w:val="both"/>
    </w:pPr>
    <w:rPr>
      <w:rFonts w:ascii="Times New Roman" w:eastAsia="Times New Roman" w:hAnsi="Times New Roman" w:cs="Times New Roman"/>
      <w:bCs/>
      <w:sz w:val="16"/>
      <w:szCs w:val="18"/>
      <w:lang w:eastAsia="es-CO"/>
    </w:rPr>
  </w:style>
  <w:style w:type="character" w:styleId="Hyperlink">
    <w:name w:val="Hyperlink"/>
    <w:basedOn w:val="DefaultParagraphFont"/>
    <w:uiPriority w:val="99"/>
    <w:unhideWhenUsed/>
    <w:rsid w:val="009B1DCC"/>
    <w:rPr>
      <w:color w:val="0563C1" w:themeColor="hyperlink"/>
      <w:u w:val="single"/>
    </w:rPr>
  </w:style>
  <w:style w:type="paragraph" w:styleId="BalloonText">
    <w:name w:val="Balloon Text"/>
    <w:basedOn w:val="Normal"/>
    <w:link w:val="BalloonTextChar"/>
    <w:uiPriority w:val="99"/>
    <w:semiHidden/>
    <w:unhideWhenUsed/>
    <w:rsid w:val="00575BF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5BF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Alc16</b:Tag>
    <b:SourceType>DocumentFromInternetSite</b:SourceType>
    <b:Guid>{90E94440-DED4-4181-9737-34401B2E918F}</b:Guid>
    <b:Title>Doctrina distrital</b:Title>
    <b:InternetSiteTitle>Documento de Relatoría: Doctrina Distrital</b:InternetSiteTitle>
    <b:Year>2016</b:Year>
    <b:URL>http://www.alcaldiabogota.gov.co/sisjur/normas/doctrina_distrital_tema.jsp?idtema=345,327,365,285,202,142,226,141,527,225&amp;nomtema=Impuestos</b:URL>
    <b:Author>
      <b:Author>
        <b:Corporate>Alcaldía de Bogotá</b:Corporate>
      </b:Author>
    </b:Author>
    <b:RefOrder>13</b:RefOrder>
  </b:Source>
  <b:Source>
    <b:Tag>Ges14</b:Tag>
    <b:SourceType>InternetSite</b:SourceType>
    <b:Guid>{167448D0-8758-437C-8F6D-8A3F5AB11227}</b:Guid>
    <b:Title>Impuestos Nacionales y Distritales en Colombia</b:Title>
    <b:InternetSiteTitle>Impuestos para empresas</b:InternetSiteTitle>
    <b:Year>2014</b:Year>
    <b:Month>Mayo</b:Month>
    <b:Day>14</b:Day>
    <b:URL>https://impuestosparaempresas.blogspot.com.co/2014/05/impuestos-nacionales-y-distritales-en.html</b:URL>
    <b:Author>
      <b:Author>
        <b:Corporate> Gestion Legal Colombia. Abogados Consultores </b:Corporate>
      </b:Author>
    </b:Author>
    <b:RefOrder>12</b:RefOrder>
  </b:Source>
</b:Sources>
</file>

<file path=customXml/itemProps1.xml><?xml version="1.0" encoding="utf-8"?>
<ds:datastoreItem xmlns:ds="http://schemas.openxmlformats.org/officeDocument/2006/customXml" ds:itemID="{B338AF7D-E86C-0D46-8BFD-BB1223A3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3009</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Blanco</dc:creator>
  <cp:keywords/>
  <dc:description/>
  <cp:lastModifiedBy>Silvia Blanco</cp:lastModifiedBy>
  <cp:revision>4</cp:revision>
  <dcterms:created xsi:type="dcterms:W3CDTF">2018-06-27T03:04:00Z</dcterms:created>
  <dcterms:modified xsi:type="dcterms:W3CDTF">2018-07-12T01:25:00Z</dcterms:modified>
</cp:coreProperties>
</file>