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C19FB" w14:textId="77777777" w:rsidR="007E50F7" w:rsidRPr="00DD4D97" w:rsidRDefault="00DD4D97">
      <w:pPr>
        <w:rPr>
          <w:b/>
        </w:rPr>
      </w:pPr>
      <w:r w:rsidRPr="00DD4D97">
        <w:rPr>
          <w:b/>
        </w:rPr>
        <w:t>Interactividad:</w:t>
      </w:r>
      <w:r w:rsidR="002D6CDC" w:rsidRPr="00DD4D97">
        <w:rPr>
          <w:b/>
        </w:rPr>
        <w:t xml:space="preserve"> Valoraciones</w:t>
      </w:r>
    </w:p>
    <w:p w14:paraId="025DABF2" w14:textId="77777777" w:rsidR="002D6CDC" w:rsidRDefault="00DD4D97">
      <w:r>
        <w:t>Realizar interactividad siguiendo el modelo de la referencia.</w:t>
      </w:r>
      <w:r w:rsidR="002D6CDC">
        <w:t xml:space="preserve"> </w:t>
      </w:r>
    </w:p>
    <w:p w14:paraId="5E9A1CC2" w14:textId="77777777" w:rsidR="00DD4D97" w:rsidRDefault="00DD4D97">
      <w:r>
        <w:rPr>
          <w:noProof/>
          <w:lang w:val="en-US"/>
        </w:rPr>
        <w:drawing>
          <wp:inline distT="114300" distB="114300" distL="114300" distR="114300" wp14:anchorId="35971599" wp14:editId="00245731">
            <wp:extent cx="4791075" cy="32766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4E2102" w14:textId="77777777" w:rsidR="002D6CDC" w:rsidRDefault="002D6CDC" w:rsidP="002D6CDC">
      <w:pPr>
        <w:jc w:val="center"/>
      </w:pPr>
    </w:p>
    <w:p w14:paraId="2555351A" w14:textId="77777777" w:rsidR="00A705C5" w:rsidRDefault="00DD4D97" w:rsidP="00A705C5">
      <w:pPr>
        <w:pStyle w:val="Heading3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bookmarkStart w:id="0" w:name="_Toc508477567"/>
      <w:r>
        <w:rPr>
          <w:rFonts w:ascii="Arial" w:hAnsi="Arial" w:cs="Arial"/>
          <w:b/>
          <w:sz w:val="22"/>
          <w:szCs w:val="22"/>
        </w:rPr>
        <w:t>Título</w:t>
      </w:r>
      <w:r w:rsidR="00A705C5">
        <w:rPr>
          <w:rFonts w:ascii="Arial" w:hAnsi="Arial" w:cs="Arial"/>
          <w:b/>
          <w:sz w:val="22"/>
          <w:szCs w:val="22"/>
        </w:rPr>
        <w:t xml:space="preserve"> 1</w:t>
      </w:r>
    </w:p>
    <w:p w14:paraId="50E2E516" w14:textId="77777777" w:rsidR="00A705C5" w:rsidRPr="00CB2E3F" w:rsidRDefault="00A705C5" w:rsidP="00A705C5">
      <w:pPr>
        <w:pStyle w:val="Heading3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CB2E3F">
        <w:rPr>
          <w:rFonts w:ascii="Arial" w:hAnsi="Arial" w:cs="Arial"/>
          <w:b/>
          <w:sz w:val="22"/>
          <w:szCs w:val="22"/>
        </w:rPr>
        <w:t>Valoración posterior</w:t>
      </w:r>
      <w:bookmarkEnd w:id="0"/>
    </w:p>
    <w:p w14:paraId="2B7B5123" w14:textId="77777777" w:rsidR="00A705C5" w:rsidRPr="00CB2E3F" w:rsidRDefault="00A705C5" w:rsidP="00A705C5"/>
    <w:p w14:paraId="34E484E1" w14:textId="77777777" w:rsidR="00A705C5" w:rsidRPr="00CB2E3F" w:rsidRDefault="00A705C5" w:rsidP="00A705C5">
      <w:pPr>
        <w:rPr>
          <w:rFonts w:ascii="Arial" w:hAnsi="Arial" w:cs="Arial"/>
        </w:rPr>
      </w:pPr>
      <w:r w:rsidRPr="00CB2E3F">
        <w:rPr>
          <w:rFonts w:ascii="Arial" w:hAnsi="Arial" w:cs="Arial"/>
        </w:rPr>
        <w:t>Según</w:t>
      </w:r>
      <w:r>
        <w:rPr>
          <w:rFonts w:ascii="Arial" w:hAnsi="Arial" w:cs="Arial"/>
        </w:rPr>
        <w:t xml:space="preserve"> Costa, Herranz y Zamora (2017)</w:t>
      </w:r>
      <w:r w:rsidRPr="00CB2E3F">
        <w:rPr>
          <w:rFonts w:ascii="Arial" w:hAnsi="Arial" w:cs="Arial"/>
        </w:rPr>
        <w:t xml:space="preserve"> para las pequeñas y medianas entidades se delimitan </w:t>
      </w:r>
      <w:r>
        <w:rPr>
          <w:rFonts w:ascii="Arial" w:hAnsi="Arial" w:cs="Arial"/>
        </w:rPr>
        <w:t>tres</w:t>
      </w:r>
      <w:r w:rsidRPr="00CB2E3F">
        <w:rPr>
          <w:rFonts w:ascii="Arial" w:hAnsi="Arial" w:cs="Arial"/>
        </w:rPr>
        <w:t xml:space="preserve"> criterios de valoración posterior muy cerrados</w:t>
      </w:r>
      <w:r>
        <w:rPr>
          <w:rFonts w:ascii="Arial" w:hAnsi="Arial" w:cs="Arial"/>
        </w:rPr>
        <w:t>,</w:t>
      </w:r>
      <w:r w:rsidRPr="00CB2E3F">
        <w:rPr>
          <w:rFonts w:ascii="Arial" w:hAnsi="Arial" w:cs="Arial"/>
        </w:rPr>
        <w:t xml:space="preserve"> que se resumen en los siguientes:</w:t>
      </w:r>
    </w:p>
    <w:p w14:paraId="3DCA8B6C" w14:textId="77777777" w:rsidR="00A705C5" w:rsidRPr="00CB2E3F" w:rsidRDefault="00A705C5" w:rsidP="00A705C5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CB2E3F">
        <w:rPr>
          <w:rFonts w:ascii="Arial" w:hAnsi="Arial" w:cs="Arial"/>
          <w:sz w:val="22"/>
          <w:szCs w:val="22"/>
        </w:rPr>
        <w:t>Costo amortizado menos deterioro</w:t>
      </w:r>
      <w:r>
        <w:rPr>
          <w:rFonts w:ascii="Arial" w:hAnsi="Arial" w:cs="Arial"/>
          <w:sz w:val="22"/>
          <w:szCs w:val="22"/>
        </w:rPr>
        <w:t>:</w:t>
      </w:r>
      <w:r w:rsidRPr="00CB2E3F">
        <w:rPr>
          <w:rFonts w:ascii="Arial" w:hAnsi="Arial" w:cs="Arial"/>
          <w:sz w:val="22"/>
          <w:szCs w:val="22"/>
        </w:rPr>
        <w:t xml:space="preserve"> aplicable a todos los instrumentos financieros básicos, excepto a las acciones preferentes no convertibles y </w:t>
      </w:r>
      <w:r>
        <w:rPr>
          <w:rFonts w:ascii="Arial" w:hAnsi="Arial" w:cs="Arial"/>
          <w:sz w:val="22"/>
          <w:szCs w:val="22"/>
        </w:rPr>
        <w:t xml:space="preserve">a las </w:t>
      </w:r>
      <w:r w:rsidRPr="00CB2E3F">
        <w:rPr>
          <w:rFonts w:ascii="Arial" w:hAnsi="Arial" w:cs="Arial"/>
          <w:sz w:val="22"/>
          <w:szCs w:val="22"/>
        </w:rPr>
        <w:t>acciones ordinarias o preferentes sin opción de venta.</w:t>
      </w:r>
    </w:p>
    <w:p w14:paraId="1E53865A" w14:textId="77777777" w:rsidR="00A705C5" w:rsidRDefault="00A705C5" w:rsidP="00A705C5">
      <w:pPr>
        <w:pStyle w:val="ListParagraph"/>
      </w:pPr>
    </w:p>
    <w:p w14:paraId="0555F58D" w14:textId="77777777" w:rsidR="00A705C5" w:rsidRPr="00CB2E3F" w:rsidRDefault="00A705C5" w:rsidP="00A705C5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CB2E3F">
        <w:rPr>
          <w:rFonts w:ascii="Arial" w:hAnsi="Arial" w:cs="Arial"/>
          <w:sz w:val="22"/>
        </w:rPr>
        <w:t xml:space="preserve">Valor razonable con cambios en resultados, aplicable a todos los instrumentos financieros contratados por la empresa y no calificados como básicos (esto es, los que están dentro del alcance de la </w:t>
      </w:r>
      <w:r>
        <w:rPr>
          <w:rFonts w:ascii="Arial" w:hAnsi="Arial" w:cs="Arial"/>
          <w:sz w:val="22"/>
        </w:rPr>
        <w:t>s</w:t>
      </w:r>
      <w:r w:rsidRPr="00CB2E3F">
        <w:rPr>
          <w:rFonts w:ascii="Arial" w:hAnsi="Arial" w:cs="Arial"/>
          <w:sz w:val="22"/>
        </w:rPr>
        <w:t xml:space="preserve">ección 12) y también a las acciones preferentes u ordinarias básicas (dentro del ámbito de aplicación de la </w:t>
      </w:r>
      <w:r>
        <w:rPr>
          <w:rFonts w:ascii="Arial" w:hAnsi="Arial" w:cs="Arial"/>
          <w:sz w:val="22"/>
        </w:rPr>
        <w:t>s</w:t>
      </w:r>
      <w:r w:rsidRPr="00CB2E3F">
        <w:rPr>
          <w:rFonts w:ascii="Arial" w:hAnsi="Arial" w:cs="Arial"/>
          <w:sz w:val="22"/>
        </w:rPr>
        <w:t>ección 11), siempre que coticen en bolsa o su valor razonable se pueda medir con fiabilidad</w:t>
      </w:r>
      <w:r>
        <w:rPr>
          <w:rFonts w:ascii="Arial" w:hAnsi="Arial" w:cs="Arial"/>
          <w:sz w:val="22"/>
        </w:rPr>
        <w:t xml:space="preserve">. (Costa, Herranz y Zamora, 2017) </w:t>
      </w:r>
    </w:p>
    <w:p w14:paraId="4DB9E74E" w14:textId="77777777" w:rsidR="00A705C5" w:rsidRPr="00CB2E3F" w:rsidRDefault="00A705C5" w:rsidP="00A705C5">
      <w:pPr>
        <w:pStyle w:val="ListParagraph"/>
        <w:jc w:val="left"/>
        <w:rPr>
          <w:rFonts w:ascii="Arial" w:hAnsi="Arial" w:cs="Arial"/>
          <w:sz w:val="22"/>
        </w:rPr>
      </w:pPr>
    </w:p>
    <w:p w14:paraId="6FEB874E" w14:textId="77777777" w:rsidR="00A705C5" w:rsidRPr="003B3873" w:rsidRDefault="00A705C5" w:rsidP="00A705C5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CB2E3F">
        <w:rPr>
          <w:rFonts w:ascii="Arial" w:hAnsi="Arial" w:cs="Arial"/>
          <w:sz w:val="22"/>
        </w:rPr>
        <w:t>Costo menos deterioro</w:t>
      </w:r>
      <w:r>
        <w:rPr>
          <w:rFonts w:ascii="Arial" w:hAnsi="Arial" w:cs="Arial"/>
          <w:sz w:val="22"/>
        </w:rPr>
        <w:t>:</w:t>
      </w:r>
      <w:r w:rsidRPr="00CB2E3F">
        <w:rPr>
          <w:rFonts w:ascii="Arial" w:hAnsi="Arial" w:cs="Arial"/>
          <w:sz w:val="22"/>
        </w:rPr>
        <w:t xml:space="preserve"> que será el criterio residual a aplicar a los instrumentos de patrimonio sin cotización pública y cuyo valor razonable no pueda medirse con fiabilidad, y los contratos vinculados con estos instrumentos que, en el caso de ejercitarse, darán lugar a la entrega de estos instrumentos</w:t>
      </w:r>
      <w:r>
        <w:rPr>
          <w:rFonts w:ascii="Arial" w:hAnsi="Arial" w:cs="Arial"/>
          <w:sz w:val="22"/>
        </w:rPr>
        <w:t xml:space="preserve">. (Costa, Herranz y Zamora, 2017) </w:t>
      </w:r>
    </w:p>
    <w:p w14:paraId="39B2B1B9" w14:textId="77777777" w:rsidR="00A705C5" w:rsidRDefault="00A705C5" w:rsidP="00A705C5"/>
    <w:p w14:paraId="1758DFC0" w14:textId="77777777" w:rsidR="00A705C5" w:rsidRDefault="00A705C5" w:rsidP="00A705C5"/>
    <w:p w14:paraId="478C7E8C" w14:textId="77777777" w:rsidR="00A705C5" w:rsidRPr="00A705C5" w:rsidRDefault="00DD4D97" w:rsidP="00A705C5">
      <w:pPr>
        <w:rPr>
          <w:rFonts w:ascii="Arial" w:eastAsiaTheme="majorEastAsia" w:hAnsi="Arial" w:cs="Arial"/>
          <w:b/>
          <w:bCs/>
          <w:szCs w:val="20"/>
          <w:lang w:eastAsia="es-CO"/>
        </w:rPr>
      </w:pPr>
      <w:r>
        <w:rPr>
          <w:rFonts w:ascii="Arial" w:eastAsiaTheme="majorEastAsia" w:hAnsi="Arial" w:cs="Arial"/>
          <w:b/>
          <w:bCs/>
          <w:szCs w:val="20"/>
          <w:lang w:eastAsia="es-CO"/>
        </w:rPr>
        <w:t>Título</w:t>
      </w:r>
      <w:r w:rsidR="00A705C5" w:rsidRPr="00A705C5">
        <w:rPr>
          <w:rFonts w:ascii="Arial" w:eastAsiaTheme="majorEastAsia" w:hAnsi="Arial" w:cs="Arial"/>
          <w:b/>
          <w:bCs/>
          <w:szCs w:val="20"/>
          <w:lang w:eastAsia="es-CO"/>
        </w:rPr>
        <w:t xml:space="preserve"> 2</w:t>
      </w:r>
    </w:p>
    <w:p w14:paraId="73DFAABB" w14:textId="77777777" w:rsidR="00A705C5" w:rsidRPr="003B3873" w:rsidRDefault="00A705C5" w:rsidP="00A705C5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</w:rPr>
      </w:pPr>
      <w:bookmarkStart w:id="1" w:name="_Toc508477568"/>
      <w:r w:rsidRPr="003B3873">
        <w:rPr>
          <w:rFonts w:ascii="Arial" w:hAnsi="Arial" w:cs="Arial"/>
          <w:b/>
          <w:sz w:val="22"/>
        </w:rPr>
        <w:t>Valoración de costo amortizado</w:t>
      </w:r>
      <w:bookmarkEnd w:id="1"/>
    </w:p>
    <w:p w14:paraId="66A5BB05" w14:textId="77777777" w:rsidR="00A705C5" w:rsidRDefault="00A705C5" w:rsidP="00A705C5">
      <w:pPr>
        <w:rPr>
          <w:rFonts w:ascii="Arial" w:hAnsi="Arial" w:cs="Arial"/>
        </w:rPr>
      </w:pPr>
    </w:p>
    <w:p w14:paraId="7F04AF04" w14:textId="77777777" w:rsidR="00A705C5" w:rsidRPr="003B3873" w:rsidRDefault="00A705C5" w:rsidP="00A705C5">
      <w:pPr>
        <w:rPr>
          <w:rFonts w:ascii="Arial" w:hAnsi="Arial" w:cs="Arial"/>
        </w:rPr>
      </w:pPr>
      <w:r w:rsidRPr="003B3873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Costa, Herranz y Zamora (2017), </w:t>
      </w:r>
      <w:r w:rsidRPr="003B3873">
        <w:rPr>
          <w:rFonts w:ascii="Arial" w:hAnsi="Arial" w:cs="Arial"/>
        </w:rPr>
        <w:t>la valoración de un costo amortizado en los pasivos financieros se obtendrá de la siguiente manera:</w:t>
      </w:r>
    </w:p>
    <w:p w14:paraId="71BB247C" w14:textId="77777777" w:rsidR="00A705C5" w:rsidRPr="003B3873" w:rsidRDefault="00A705C5" w:rsidP="00A705C5">
      <w:pPr>
        <w:ind w:left="284"/>
        <w:rPr>
          <w:rFonts w:ascii="Arial" w:hAnsi="Arial" w:cs="Arial"/>
        </w:rPr>
      </w:pPr>
      <w:r w:rsidRPr="003B3873">
        <w:rPr>
          <w:rFonts w:ascii="Arial" w:hAnsi="Arial" w:cs="Arial"/>
          <w:b/>
        </w:rPr>
        <w:t>+</w:t>
      </w:r>
      <w:r w:rsidRPr="003B3873">
        <w:rPr>
          <w:rFonts w:ascii="Arial" w:hAnsi="Arial" w:cs="Arial"/>
        </w:rPr>
        <w:t xml:space="preserve"> Valor en el origen de la operación (deducidos costos de transacción, en su caso) (Vo)</w:t>
      </w:r>
      <w:r>
        <w:rPr>
          <w:rFonts w:ascii="Arial" w:hAnsi="Arial" w:cs="Arial"/>
        </w:rPr>
        <w:t>.</w:t>
      </w:r>
    </w:p>
    <w:p w14:paraId="3373A8F3" w14:textId="77777777" w:rsidR="00A705C5" w:rsidRPr="003B3873" w:rsidRDefault="00A705C5" w:rsidP="00A705C5">
      <w:pPr>
        <w:ind w:left="284"/>
        <w:rPr>
          <w:rFonts w:ascii="Arial" w:hAnsi="Arial" w:cs="Arial"/>
        </w:rPr>
      </w:pPr>
      <w:r w:rsidRPr="003B3873">
        <w:rPr>
          <w:rFonts w:ascii="Arial" w:hAnsi="Arial" w:cs="Arial"/>
          <w:b/>
        </w:rPr>
        <w:t xml:space="preserve">– </w:t>
      </w:r>
      <w:r w:rsidRPr="003B3873">
        <w:rPr>
          <w:rFonts w:ascii="Arial" w:hAnsi="Arial" w:cs="Arial"/>
        </w:rPr>
        <w:t>Devoluciones o amortizaciones que se hayan producido</w:t>
      </w:r>
      <w:r>
        <w:rPr>
          <w:rFonts w:ascii="Arial" w:hAnsi="Arial" w:cs="Arial"/>
        </w:rPr>
        <w:t>.</w:t>
      </w:r>
    </w:p>
    <w:p w14:paraId="77254E83" w14:textId="77777777" w:rsidR="00A705C5" w:rsidRPr="003B3873" w:rsidRDefault="00A705C5" w:rsidP="00A705C5">
      <w:pPr>
        <w:ind w:left="284"/>
        <w:rPr>
          <w:rFonts w:ascii="Arial" w:hAnsi="Arial" w:cs="Arial"/>
        </w:rPr>
      </w:pPr>
      <w:r w:rsidRPr="003B3873">
        <w:rPr>
          <w:rFonts w:ascii="Arial" w:hAnsi="Arial" w:cs="Arial"/>
          <w:b/>
        </w:rPr>
        <w:t>+</w:t>
      </w:r>
      <w:r w:rsidRPr="003B3873">
        <w:rPr>
          <w:rFonts w:ascii="Arial" w:hAnsi="Arial" w:cs="Arial"/>
        </w:rPr>
        <w:t xml:space="preserve"> Imputación acumulada de las posibles diferencias entre el valor inicial (Vo) y su valor de reembolso (Vr).</w:t>
      </w:r>
    </w:p>
    <w:p w14:paraId="6D41E86E" w14:textId="77777777" w:rsidR="00A705C5" w:rsidRPr="003B3873" w:rsidRDefault="00A705C5" w:rsidP="00A705C5">
      <w:pPr>
        <w:ind w:left="284"/>
        <w:rPr>
          <w:rFonts w:ascii="Arial" w:hAnsi="Arial" w:cs="Arial"/>
        </w:rPr>
      </w:pPr>
      <w:r w:rsidRPr="003B3873">
        <w:rPr>
          <w:rFonts w:ascii="Arial" w:hAnsi="Arial" w:cs="Arial"/>
          <w:b/>
        </w:rPr>
        <w:t>=</w:t>
      </w:r>
      <w:r w:rsidRPr="003B3873">
        <w:rPr>
          <w:rFonts w:ascii="Arial" w:hAnsi="Arial" w:cs="Arial"/>
        </w:rPr>
        <w:t xml:space="preserve"> Costo amortizado del pasivo.</w:t>
      </w:r>
    </w:p>
    <w:p w14:paraId="147EB315" w14:textId="77777777" w:rsidR="00A705C5" w:rsidRDefault="00A705C5" w:rsidP="00A705C5">
      <w:pPr>
        <w:rPr>
          <w:rFonts w:ascii="Arial" w:eastAsiaTheme="majorEastAsia" w:hAnsi="Arial" w:cs="Arial"/>
          <w:b/>
          <w:bCs/>
          <w:szCs w:val="20"/>
          <w:lang w:eastAsia="es-CO"/>
        </w:rPr>
      </w:pPr>
    </w:p>
    <w:p w14:paraId="5BA8EE7D" w14:textId="77777777" w:rsidR="00A705C5" w:rsidRPr="00A705C5" w:rsidRDefault="00DD4D97" w:rsidP="00A705C5">
      <w:pPr>
        <w:rPr>
          <w:rFonts w:ascii="Arial" w:eastAsiaTheme="majorEastAsia" w:hAnsi="Arial" w:cs="Arial"/>
          <w:b/>
          <w:bCs/>
          <w:szCs w:val="20"/>
          <w:lang w:eastAsia="es-CO"/>
        </w:rPr>
      </w:pPr>
      <w:r>
        <w:rPr>
          <w:rFonts w:ascii="Arial" w:eastAsiaTheme="majorEastAsia" w:hAnsi="Arial" w:cs="Arial"/>
          <w:b/>
          <w:bCs/>
          <w:szCs w:val="20"/>
          <w:lang w:eastAsia="es-CO"/>
        </w:rPr>
        <w:t>Título</w:t>
      </w:r>
      <w:bookmarkStart w:id="2" w:name="_GoBack"/>
      <w:bookmarkEnd w:id="2"/>
      <w:r w:rsidR="00A705C5" w:rsidRPr="00A705C5">
        <w:rPr>
          <w:rFonts w:ascii="Arial" w:eastAsiaTheme="majorEastAsia" w:hAnsi="Arial" w:cs="Arial"/>
          <w:b/>
          <w:bCs/>
          <w:szCs w:val="20"/>
          <w:lang w:eastAsia="es-CO"/>
        </w:rPr>
        <w:t xml:space="preserve"> 3</w:t>
      </w:r>
    </w:p>
    <w:p w14:paraId="7AD224A6" w14:textId="77777777" w:rsidR="00A705C5" w:rsidRPr="003B3873" w:rsidRDefault="00A705C5" w:rsidP="00A705C5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</w:rPr>
      </w:pPr>
      <w:bookmarkStart w:id="3" w:name="_Toc508477569"/>
      <w:r w:rsidRPr="003B3873">
        <w:rPr>
          <w:rFonts w:ascii="Arial" w:hAnsi="Arial" w:cs="Arial"/>
          <w:b/>
          <w:sz w:val="22"/>
        </w:rPr>
        <w:t>Baja de pasivos financieros</w:t>
      </w:r>
      <w:bookmarkEnd w:id="3"/>
    </w:p>
    <w:p w14:paraId="6AD4DC14" w14:textId="77777777" w:rsidR="00A705C5" w:rsidRDefault="00A705C5" w:rsidP="00A705C5">
      <w:pPr>
        <w:rPr>
          <w:rFonts w:ascii="Arial" w:hAnsi="Arial" w:cs="Arial"/>
        </w:rPr>
      </w:pPr>
    </w:p>
    <w:p w14:paraId="030BDB23" w14:textId="77777777" w:rsidR="00A705C5" w:rsidRPr="003B3873" w:rsidRDefault="00A705C5" w:rsidP="00A705C5">
      <w:pPr>
        <w:rPr>
          <w:rFonts w:ascii="Times" w:hAnsi="Times"/>
          <w:sz w:val="20"/>
          <w:lang w:val="en-US"/>
        </w:rPr>
      </w:pPr>
      <w:r w:rsidRPr="003B3873">
        <w:rPr>
          <w:rFonts w:ascii="Arial" w:hAnsi="Arial" w:cs="Arial"/>
        </w:rPr>
        <w:t xml:space="preserve">De acuerdo con la NIIF para las </w:t>
      </w:r>
      <w:r>
        <w:rPr>
          <w:rFonts w:ascii="Arial" w:hAnsi="Arial" w:cs="Arial"/>
        </w:rPr>
        <w:t>p</w:t>
      </w:r>
      <w:r w:rsidRPr="003B3873">
        <w:rPr>
          <w:rFonts w:ascii="Arial" w:hAnsi="Arial" w:cs="Arial"/>
        </w:rPr>
        <w:t xml:space="preserve">ymes (párrafo 11.36), </w:t>
      </w:r>
      <w:r w:rsidRPr="003B3873">
        <w:rPr>
          <w:rFonts w:ascii="Helvetica" w:hAnsi="Helvetica"/>
          <w:color w:val="222222"/>
          <w:sz w:val="21"/>
          <w:szCs w:val="21"/>
          <w:shd w:val="clear" w:color="auto" w:fill="FFFFFF"/>
          <w:lang w:val="en-US"/>
        </w:rPr>
        <w:t>«</w:t>
      </w:r>
      <w:r w:rsidRPr="003B3873">
        <w:rPr>
          <w:rFonts w:ascii="Arial" w:hAnsi="Arial" w:cs="Arial"/>
        </w:rPr>
        <w:t>una entidad solo dará de baja en cuentas un pasivo financiero (o una parte de un pasivo financiero) cuando se hay</w:t>
      </w:r>
      <w:r>
        <w:rPr>
          <w:rFonts w:ascii="Arial" w:hAnsi="Arial" w:cs="Arial"/>
        </w:rPr>
        <w:t xml:space="preserve">a extinguido, </w:t>
      </w:r>
      <w:r w:rsidRPr="003B3873">
        <w:rPr>
          <w:rFonts w:ascii="Arial" w:hAnsi="Arial" w:cs="Arial"/>
        </w:rPr>
        <w:t>esto es, cuando la obligación especificada en el contrato haya sido pagada, cancelada o haya expirado</w:t>
      </w:r>
      <w:r w:rsidRPr="003B3873">
        <w:rPr>
          <w:rFonts w:ascii="Helvetica" w:hAnsi="Helvetica"/>
          <w:color w:val="222222"/>
          <w:sz w:val="21"/>
          <w:szCs w:val="21"/>
          <w:shd w:val="clear" w:color="auto" w:fill="FFFFFF"/>
          <w:lang w:val="en-US"/>
        </w:rPr>
        <w:t>»</w:t>
      </w:r>
      <w:r w:rsidRPr="003B3873">
        <w:rPr>
          <w:rFonts w:ascii="Arial" w:hAnsi="Arial" w:cs="Arial"/>
        </w:rPr>
        <w:t>.</w:t>
      </w:r>
    </w:p>
    <w:p w14:paraId="78E28888" w14:textId="77777777" w:rsidR="00A705C5" w:rsidRDefault="00A705C5" w:rsidP="00A705C5"/>
    <w:p w14:paraId="259CB9CE" w14:textId="77777777" w:rsidR="002D6CDC" w:rsidRDefault="002D6CDC" w:rsidP="002D6CDC">
      <w:pPr>
        <w:jc w:val="center"/>
      </w:pPr>
    </w:p>
    <w:p w14:paraId="0890C9B7" w14:textId="77777777" w:rsidR="002D6CDC" w:rsidRDefault="002D6CDC" w:rsidP="002D6CDC">
      <w:pPr>
        <w:jc w:val="center"/>
      </w:pPr>
    </w:p>
    <w:sectPr w:rsidR="002D6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5E67" w14:textId="77777777" w:rsidR="00245BD0" w:rsidRDefault="00245BD0" w:rsidP="00A705C5">
      <w:pPr>
        <w:spacing w:after="0" w:line="240" w:lineRule="auto"/>
      </w:pPr>
      <w:r>
        <w:separator/>
      </w:r>
    </w:p>
  </w:endnote>
  <w:endnote w:type="continuationSeparator" w:id="0">
    <w:p w14:paraId="3FE7EDB1" w14:textId="77777777" w:rsidR="00245BD0" w:rsidRDefault="00245BD0" w:rsidP="00A7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1A6A8" w14:textId="77777777" w:rsidR="00245BD0" w:rsidRDefault="00245BD0" w:rsidP="00A705C5">
      <w:pPr>
        <w:spacing w:after="0" w:line="240" w:lineRule="auto"/>
      </w:pPr>
      <w:r>
        <w:separator/>
      </w:r>
    </w:p>
  </w:footnote>
  <w:footnote w:type="continuationSeparator" w:id="0">
    <w:p w14:paraId="72EBA573" w14:textId="77777777" w:rsidR="00245BD0" w:rsidRDefault="00245BD0" w:rsidP="00A7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F9C"/>
    <w:multiLevelType w:val="hybridMultilevel"/>
    <w:tmpl w:val="00CC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63A62"/>
    <w:multiLevelType w:val="multilevel"/>
    <w:tmpl w:val="36DC1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C"/>
    <w:rsid w:val="00245BD0"/>
    <w:rsid w:val="002D6CDC"/>
    <w:rsid w:val="007E50F7"/>
    <w:rsid w:val="00A705C5"/>
    <w:rsid w:val="00B53C91"/>
    <w:rsid w:val="00D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A8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05C5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05C5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/>
      <w:bCs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5C5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5C5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C5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C5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C5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C5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C5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C5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A705C5"/>
    <w:rPr>
      <w:rFonts w:ascii="Arial" w:eastAsiaTheme="majorEastAsia" w:hAnsi="Arial" w:cs="Arial"/>
      <w:b/>
      <w:bCs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A705C5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A705C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C5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C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A705C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Header">
    <w:name w:val="header"/>
    <w:basedOn w:val="Normal"/>
    <w:link w:val="HeaderChar"/>
    <w:uiPriority w:val="99"/>
    <w:unhideWhenUsed/>
    <w:rsid w:val="00A7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C5"/>
  </w:style>
  <w:style w:type="paragraph" w:styleId="Footer">
    <w:name w:val="footer"/>
    <w:basedOn w:val="Normal"/>
    <w:link w:val="FooterChar"/>
    <w:uiPriority w:val="99"/>
    <w:unhideWhenUsed/>
    <w:rsid w:val="00A7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C5"/>
  </w:style>
  <w:style w:type="paragraph" w:styleId="BalloonText">
    <w:name w:val="Balloon Text"/>
    <w:basedOn w:val="Normal"/>
    <w:link w:val="BalloonTextChar"/>
    <w:uiPriority w:val="99"/>
    <w:semiHidden/>
    <w:unhideWhenUsed/>
    <w:rsid w:val="00DD4D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05C5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05C5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/>
      <w:bCs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5C5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5C5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C5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C5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C5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C5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C5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C5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A705C5"/>
    <w:rPr>
      <w:rFonts w:ascii="Arial" w:eastAsiaTheme="majorEastAsia" w:hAnsi="Arial" w:cs="Arial"/>
      <w:b/>
      <w:bCs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A705C5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A705C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C5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C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A705C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Header">
    <w:name w:val="header"/>
    <w:basedOn w:val="Normal"/>
    <w:link w:val="HeaderChar"/>
    <w:uiPriority w:val="99"/>
    <w:unhideWhenUsed/>
    <w:rsid w:val="00A7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C5"/>
  </w:style>
  <w:style w:type="paragraph" w:styleId="Footer">
    <w:name w:val="footer"/>
    <w:basedOn w:val="Normal"/>
    <w:link w:val="FooterChar"/>
    <w:uiPriority w:val="99"/>
    <w:unhideWhenUsed/>
    <w:rsid w:val="00A7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C5"/>
  </w:style>
  <w:style w:type="paragraph" w:styleId="BalloonText">
    <w:name w:val="Balloon Text"/>
    <w:basedOn w:val="Normal"/>
    <w:link w:val="BalloonTextChar"/>
    <w:uiPriority w:val="99"/>
    <w:semiHidden/>
    <w:unhideWhenUsed/>
    <w:rsid w:val="00DD4D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2</cp:revision>
  <dcterms:created xsi:type="dcterms:W3CDTF">2018-06-16T03:23:00Z</dcterms:created>
  <dcterms:modified xsi:type="dcterms:W3CDTF">2018-07-04T00:43:00Z</dcterms:modified>
</cp:coreProperties>
</file>