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BAFCF" w14:textId="77777777" w:rsidR="00A41B19" w:rsidRPr="00541D91" w:rsidRDefault="00541D91" w:rsidP="00541D91">
      <w:pPr>
        <w:jc w:val="center"/>
        <w:rPr>
          <w:rFonts w:ascii="Arial" w:hAnsi="Arial" w:cs="Arial"/>
          <w:b/>
        </w:rPr>
      </w:pPr>
      <w:r w:rsidRPr="00541D91">
        <w:rPr>
          <w:rFonts w:ascii="Arial" w:hAnsi="Arial" w:cs="Arial"/>
          <w:b/>
        </w:rPr>
        <w:t>Interactividad</w:t>
      </w:r>
      <w:r w:rsidR="00DA3565" w:rsidRPr="00541D91">
        <w:rPr>
          <w:rFonts w:ascii="Arial" w:hAnsi="Arial" w:cs="Arial"/>
          <w:b/>
        </w:rPr>
        <w:t>: Tratamiento contable</w:t>
      </w:r>
    </w:p>
    <w:p w14:paraId="5A847DF3" w14:textId="77777777" w:rsidR="00541D91" w:rsidRPr="00541D91" w:rsidRDefault="00541D91">
      <w:pPr>
        <w:rPr>
          <w:rFonts w:ascii="Arial" w:hAnsi="Arial" w:cs="Arial"/>
          <w:b/>
        </w:rPr>
      </w:pPr>
    </w:p>
    <w:p w14:paraId="27E0C6BE" w14:textId="77777777" w:rsidR="00541D91" w:rsidRPr="00541D91" w:rsidRDefault="00541D91">
      <w:pPr>
        <w:rPr>
          <w:rFonts w:ascii="Arial" w:hAnsi="Arial" w:cs="Arial"/>
        </w:rPr>
      </w:pPr>
      <w:r w:rsidRPr="00541D91">
        <w:rPr>
          <w:rFonts w:ascii="Arial" w:hAnsi="Arial" w:cs="Arial"/>
        </w:rPr>
        <w:t>De acuerdo con el siguiente esquema, realizar la interactividad.</w:t>
      </w:r>
    </w:p>
    <w:p w14:paraId="75353D57" w14:textId="77777777" w:rsidR="00DA3565" w:rsidRDefault="00541D91">
      <w:r>
        <w:rPr>
          <w:noProof/>
          <w:lang w:val="en-US"/>
        </w:rPr>
        <w:drawing>
          <wp:inline distT="114300" distB="114300" distL="114300" distR="114300" wp14:anchorId="437DA485" wp14:editId="461D69DE">
            <wp:extent cx="3800475" cy="2453034"/>
            <wp:effectExtent l="0" t="0" r="0" b="0"/>
            <wp:docPr id="23"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7"/>
                    <a:srcRect/>
                    <a:stretch>
                      <a:fillRect/>
                    </a:stretch>
                  </pic:blipFill>
                  <pic:spPr>
                    <a:xfrm>
                      <a:off x="0" y="0"/>
                      <a:ext cx="3800475" cy="2453034"/>
                    </a:xfrm>
                    <a:prstGeom prst="rect">
                      <a:avLst/>
                    </a:prstGeom>
                    <a:ln/>
                  </pic:spPr>
                </pic:pic>
              </a:graphicData>
            </a:graphic>
          </wp:inline>
        </w:drawing>
      </w:r>
    </w:p>
    <w:p w14:paraId="167F160A" w14:textId="77777777" w:rsidR="00541D91" w:rsidRDefault="00541D91"/>
    <w:p w14:paraId="247D329C" w14:textId="77777777" w:rsidR="00DA3565" w:rsidRPr="00541D91" w:rsidRDefault="00541D91">
      <w:pPr>
        <w:rPr>
          <w:rFonts w:ascii="Arial" w:hAnsi="Arial" w:cs="Arial"/>
          <w:b/>
        </w:rPr>
      </w:pPr>
      <w:r w:rsidRPr="00541D91">
        <w:rPr>
          <w:rFonts w:ascii="Arial" w:hAnsi="Arial" w:cs="Arial"/>
          <w:b/>
        </w:rPr>
        <w:t>Título: Tratamiento contable</w:t>
      </w:r>
    </w:p>
    <w:p w14:paraId="720B4E41" w14:textId="77777777" w:rsidR="00DA3565" w:rsidRPr="00541D91" w:rsidRDefault="00DA3565" w:rsidP="00DA3565">
      <w:pPr>
        <w:pStyle w:val="Heading3"/>
        <w:numPr>
          <w:ilvl w:val="0"/>
          <w:numId w:val="3"/>
        </w:numPr>
      </w:pPr>
      <w:bookmarkStart w:id="0" w:name="_Toc508617276"/>
      <w:r w:rsidRPr="00541D91">
        <w:t>Reconocimiento</w:t>
      </w:r>
      <w:bookmarkEnd w:id="0"/>
    </w:p>
    <w:p w14:paraId="36C60DAC" w14:textId="77777777" w:rsidR="00DA3565" w:rsidRPr="00541D91" w:rsidRDefault="00DA3565" w:rsidP="00DA3565">
      <w:pPr>
        <w:rPr>
          <w:rFonts w:ascii="Arial" w:hAnsi="Arial" w:cs="Arial"/>
        </w:rPr>
      </w:pPr>
    </w:p>
    <w:p w14:paraId="67075546" w14:textId="77777777" w:rsidR="00DA3565" w:rsidRPr="00541D91" w:rsidRDefault="00DA3565" w:rsidP="00DA3565">
      <w:pPr>
        <w:rPr>
          <w:rFonts w:ascii="Arial" w:hAnsi="Arial" w:cs="Arial"/>
        </w:rPr>
      </w:pPr>
      <w:r w:rsidRPr="00541D91">
        <w:rPr>
          <w:rFonts w:ascii="Arial" w:hAnsi="Arial" w:cs="Arial"/>
        </w:rPr>
        <w:t xml:space="preserve">Según el grupo al que pertenezca la entidad, las </w:t>
      </w:r>
      <w:r w:rsidRPr="00541D91">
        <w:rPr>
          <w:rFonts w:ascii="Arial" w:hAnsi="Arial" w:cs="Arial"/>
          <w:color w:val="222222"/>
          <w:shd w:val="clear" w:color="auto" w:fill="FFFFFF"/>
        </w:rPr>
        <w:t>Normas Internacionales de Información Financiera</w:t>
      </w:r>
      <w:r w:rsidRPr="00541D91">
        <w:rPr>
          <w:rFonts w:ascii="Arial" w:hAnsi="Arial" w:cs="Arial"/>
        </w:rPr>
        <w:t xml:space="preserve"> (NIIF) establecen los requerimientos necesarios. Para las pymes específicamente:</w:t>
      </w:r>
    </w:p>
    <w:p w14:paraId="1F5F5DCF" w14:textId="77777777" w:rsidR="00DA3565" w:rsidRPr="00541D91" w:rsidRDefault="00DA3565" w:rsidP="00DA3565">
      <w:pPr>
        <w:rPr>
          <w:rFonts w:ascii="Arial" w:hAnsi="Arial" w:cs="Arial"/>
        </w:rPr>
      </w:pPr>
      <w:r w:rsidRPr="00541D91">
        <w:rPr>
          <w:rFonts w:ascii="Arial" w:hAnsi="Arial" w:cs="Arial"/>
          <w:shd w:val="clear" w:color="auto" w:fill="FFFFFF"/>
        </w:rPr>
        <w:t>«</w:t>
      </w:r>
      <w:r w:rsidRPr="00541D91">
        <w:rPr>
          <w:rFonts w:ascii="Arial" w:hAnsi="Arial" w:cs="Arial"/>
        </w:rPr>
        <w:t>Se reconocerá un pasivo en el estado de situación financiera cuando: la entidad tiene una obligación al final del periodo</w:t>
      </w:r>
      <w:r w:rsidRPr="00541D91">
        <w:rPr>
          <w:rFonts w:ascii="Arial" w:hAnsi="Arial" w:cs="Arial"/>
          <w:shd w:val="clear" w:color="auto" w:fill="FFFFFF"/>
        </w:rPr>
        <w:t>»</w:t>
      </w:r>
      <w:r w:rsidRPr="00541D91">
        <w:rPr>
          <w:rFonts w:ascii="Arial" w:hAnsi="Arial" w:cs="Arial"/>
        </w:rPr>
        <w:t>.</w:t>
      </w:r>
      <w:sdt>
        <w:sdtPr>
          <w:rPr>
            <w:rFonts w:ascii="Arial" w:hAnsi="Arial" w:cs="Arial"/>
          </w:rPr>
          <w:id w:val="991762725"/>
          <w:citation/>
        </w:sdtPr>
        <w:sdtEndPr/>
        <w:sdtContent>
          <w:r w:rsidRPr="00541D91">
            <w:rPr>
              <w:rFonts w:ascii="Arial" w:hAnsi="Arial" w:cs="Arial"/>
            </w:rPr>
            <w:fldChar w:fldCharType="begin"/>
          </w:r>
          <w:r w:rsidRPr="00541D91">
            <w:rPr>
              <w:rFonts w:ascii="Arial" w:hAnsi="Arial" w:cs="Arial"/>
            </w:rPr>
            <w:instrText xml:space="preserve"> CITATION IFR11 \l 9226 </w:instrText>
          </w:r>
          <w:r w:rsidRPr="00541D91">
            <w:rPr>
              <w:rFonts w:ascii="Arial" w:hAnsi="Arial" w:cs="Arial"/>
            </w:rPr>
            <w:fldChar w:fldCharType="separate"/>
          </w:r>
          <w:r w:rsidRPr="00541D91">
            <w:rPr>
              <w:rFonts w:ascii="Arial" w:hAnsi="Arial" w:cs="Arial"/>
              <w:noProof/>
            </w:rPr>
            <w:t xml:space="preserve"> (IFRS, 2009)</w:t>
          </w:r>
          <w:r w:rsidRPr="00541D91">
            <w:rPr>
              <w:rFonts w:ascii="Arial" w:hAnsi="Arial" w:cs="Arial"/>
            </w:rPr>
            <w:fldChar w:fldCharType="end"/>
          </w:r>
        </w:sdtContent>
      </w:sdt>
      <w:r w:rsidRPr="00541D91">
        <w:rPr>
          <w:rFonts w:ascii="Arial" w:hAnsi="Arial" w:cs="Arial"/>
        </w:rPr>
        <w:t xml:space="preserve"> Se requerirá a la entidad, en la liquidación, la transferencia de recursos que incorporen beneficios económicos. El importe de la liquidación puede medirse de forma fiable. Una entidad no reconocerá un pasivo contingente como pasivo, excepto en el caso de los pasivos contingentes de una adquirida en una combinación de negocios.</w:t>
      </w:r>
    </w:p>
    <w:p w14:paraId="289E9FF3" w14:textId="77777777" w:rsidR="00DA3565" w:rsidRDefault="00DA3565" w:rsidP="00DA3565">
      <w:pPr>
        <w:rPr>
          <w:rFonts w:ascii="Arial" w:hAnsi="Arial" w:cs="Arial"/>
        </w:rPr>
      </w:pPr>
      <w:r w:rsidRPr="00541D91">
        <w:rPr>
          <w:rFonts w:ascii="Arial" w:hAnsi="Arial" w:cs="Arial"/>
          <w:color w:val="000000" w:themeColor="text1"/>
        </w:rPr>
        <w:t xml:space="preserve">El primer requisito para el reconocimiento es que los elementos cumplan con la definición, lo cual </w:t>
      </w:r>
      <w:r w:rsidRPr="00541D91">
        <w:rPr>
          <w:rFonts w:ascii="Arial" w:hAnsi="Arial" w:cs="Arial"/>
        </w:rPr>
        <w:t>confiere relevancia a la información, pues los elementos tienen capacidad para influir en la estimación de los flujos de efectivo</w:t>
      </w:r>
      <w:r w:rsidRPr="001E66BF">
        <w:rPr>
          <w:rFonts w:ascii="Arial" w:hAnsi="Arial" w:cs="Arial"/>
        </w:rPr>
        <w:t xml:space="preserve"> futuros. Sin embargo, esta condición no es suficiente, es necesario que la información supere un doble análisis relacionado con la relevancia y con la fiabilidad </w:t>
      </w:r>
      <w:sdt>
        <w:sdtPr>
          <w:rPr>
            <w:rFonts w:ascii="Arial" w:hAnsi="Arial" w:cs="Arial"/>
          </w:rPr>
          <w:id w:val="-256365490"/>
          <w:citation/>
        </w:sdtPr>
        <w:sdtEndPr/>
        <w:sdtContent>
          <w:r w:rsidRPr="001E66BF">
            <w:rPr>
              <w:rFonts w:ascii="Arial" w:hAnsi="Arial" w:cs="Arial"/>
            </w:rPr>
            <w:fldChar w:fldCharType="begin"/>
          </w:r>
          <w:r w:rsidRPr="001E66BF">
            <w:rPr>
              <w:rFonts w:ascii="Arial" w:hAnsi="Arial" w:cs="Arial"/>
            </w:rPr>
            <w:instrText xml:space="preserve"> CITATION Con13 \l 9226 </w:instrText>
          </w:r>
          <w:r w:rsidRPr="001E66BF">
            <w:rPr>
              <w:rFonts w:ascii="Arial" w:hAnsi="Arial" w:cs="Arial"/>
            </w:rPr>
            <w:fldChar w:fldCharType="separate"/>
          </w:r>
          <w:r w:rsidRPr="001E66BF">
            <w:rPr>
              <w:rFonts w:ascii="Arial" w:hAnsi="Arial" w:cs="Arial"/>
              <w:noProof/>
            </w:rPr>
            <w:t>(Contaduría General de la Nación, 2013)</w:t>
          </w:r>
          <w:r w:rsidRPr="001E66BF">
            <w:rPr>
              <w:rFonts w:ascii="Arial" w:hAnsi="Arial" w:cs="Arial"/>
            </w:rPr>
            <w:fldChar w:fldCharType="end"/>
          </w:r>
        </w:sdtContent>
      </w:sdt>
      <w:r w:rsidRPr="001E66BF">
        <w:rPr>
          <w:rFonts w:ascii="Arial" w:hAnsi="Arial" w:cs="Arial"/>
        </w:rPr>
        <w:t>.</w:t>
      </w:r>
    </w:p>
    <w:p w14:paraId="686AE745" w14:textId="77777777" w:rsidR="00DA3565" w:rsidRDefault="00DA3565" w:rsidP="00DA3565">
      <w:pPr>
        <w:rPr>
          <w:rFonts w:ascii="Arial" w:hAnsi="Arial" w:cs="Arial"/>
        </w:rPr>
      </w:pPr>
      <w:r w:rsidRPr="001E66BF">
        <w:rPr>
          <w:rFonts w:ascii="Arial" w:hAnsi="Arial" w:cs="Arial"/>
        </w:rPr>
        <w:t xml:space="preserve">El reconocimiento de los elementos exige el cumplimiento de una serie de características cualitativas fundamentales que, superadas, garantizan la relevancia y fiabilidad de la información presentada. </w:t>
      </w:r>
    </w:p>
    <w:p w14:paraId="68373288" w14:textId="77777777" w:rsidR="00DA3565" w:rsidRDefault="00DA3565" w:rsidP="00DA3565">
      <w:pPr>
        <w:rPr>
          <w:rFonts w:ascii="Arial" w:hAnsi="Arial" w:cs="Arial"/>
        </w:rPr>
      </w:pPr>
    </w:p>
    <w:p w14:paraId="289A7DE6" w14:textId="77777777" w:rsidR="00DA3565" w:rsidRPr="001E66BF" w:rsidRDefault="00DA3565" w:rsidP="00DA3565">
      <w:pPr>
        <w:pStyle w:val="Heading3"/>
        <w:numPr>
          <w:ilvl w:val="0"/>
          <w:numId w:val="3"/>
        </w:numPr>
      </w:pPr>
      <w:r w:rsidRPr="001E66BF">
        <w:lastRenderedPageBreak/>
        <w:t>Medición</w:t>
      </w:r>
    </w:p>
    <w:p w14:paraId="49DCA903" w14:textId="77777777" w:rsidR="00DA3565" w:rsidRDefault="00DA3565" w:rsidP="00DA3565">
      <w:pPr>
        <w:rPr>
          <w:rFonts w:ascii="Arial" w:hAnsi="Arial" w:cs="Arial"/>
        </w:rPr>
      </w:pPr>
    </w:p>
    <w:p w14:paraId="314CA45E" w14:textId="77777777" w:rsidR="00DA3565" w:rsidRDefault="00DA3565" w:rsidP="00DA3565">
      <w:pPr>
        <w:rPr>
          <w:rFonts w:ascii="Arial" w:hAnsi="Arial" w:cs="Arial"/>
        </w:rPr>
      </w:pPr>
      <w:r>
        <w:rPr>
          <w:rFonts w:ascii="Arial" w:hAnsi="Arial" w:cs="Arial"/>
        </w:rPr>
        <w:t xml:space="preserve">El proceso para determinarla, </w:t>
      </w:r>
      <w:r w:rsidRPr="001E66BF">
        <w:rPr>
          <w:rFonts w:ascii="Arial" w:hAnsi="Arial" w:cs="Arial"/>
        </w:rPr>
        <w:t xml:space="preserve">involucra una base de medición que puede ser por el </w:t>
      </w:r>
      <w:r w:rsidRPr="001B19EE">
        <w:rPr>
          <w:rFonts w:ascii="Arial" w:hAnsi="Arial" w:cs="Arial"/>
        </w:rPr>
        <w:t>costo</w:t>
      </w:r>
      <w:r w:rsidRPr="001E66BF">
        <w:rPr>
          <w:rFonts w:ascii="Arial" w:hAnsi="Arial" w:cs="Arial"/>
        </w:rPr>
        <w:t xml:space="preserve"> histórico o el valor pagado</w:t>
      </w:r>
      <w:r>
        <w:rPr>
          <w:rFonts w:ascii="Arial" w:hAnsi="Arial" w:cs="Arial"/>
        </w:rPr>
        <w:t>,</w:t>
      </w:r>
      <w:r w:rsidRPr="001E66BF">
        <w:rPr>
          <w:rFonts w:ascii="Arial" w:hAnsi="Arial" w:cs="Arial"/>
        </w:rPr>
        <w:t xml:space="preserve"> que es el valor razonable</w:t>
      </w:r>
      <w:r>
        <w:rPr>
          <w:rFonts w:ascii="Arial" w:hAnsi="Arial" w:cs="Arial"/>
        </w:rPr>
        <w:t>,</w:t>
      </w:r>
      <w:r w:rsidRPr="001E66BF">
        <w:rPr>
          <w:rFonts w:ascii="Arial" w:hAnsi="Arial" w:cs="Arial"/>
        </w:rPr>
        <w:t xml:space="preserve"> dependiendo </w:t>
      </w:r>
      <w:r>
        <w:rPr>
          <w:rFonts w:ascii="Arial" w:hAnsi="Arial" w:cs="Arial"/>
        </w:rPr>
        <w:t xml:space="preserve">de </w:t>
      </w:r>
      <w:r w:rsidRPr="001E66BF">
        <w:rPr>
          <w:rFonts w:ascii="Arial" w:hAnsi="Arial" w:cs="Arial"/>
        </w:rPr>
        <w:t xml:space="preserve">cada sección o cada ocasión a la cual se va a aplicar. </w:t>
      </w:r>
    </w:p>
    <w:p w14:paraId="644A808A" w14:textId="77777777" w:rsidR="00DA3565" w:rsidRPr="001B19EE" w:rsidRDefault="00DA3565" w:rsidP="00DA3565">
      <w:pPr>
        <w:rPr>
          <w:rFonts w:ascii="Arial" w:hAnsi="Arial" w:cs="Arial"/>
        </w:rPr>
      </w:pPr>
      <w:r w:rsidRPr="001B19EE">
        <w:rPr>
          <w:rFonts w:ascii="Arial" w:hAnsi="Arial" w:cs="Arial"/>
          <w:color w:val="000000" w:themeColor="text1"/>
        </w:rPr>
        <w:t>Tenga en cuenta que</w:t>
      </w:r>
      <w:r>
        <w:rPr>
          <w:rFonts w:ascii="Arial" w:hAnsi="Arial" w:cs="Arial"/>
          <w:color w:val="000000" w:themeColor="text1"/>
        </w:rPr>
        <w:t xml:space="preserve"> en</w:t>
      </w:r>
      <w:r w:rsidRPr="001B19EE">
        <w:rPr>
          <w:rFonts w:ascii="Arial" w:hAnsi="Arial" w:cs="Arial"/>
          <w:color w:val="000000" w:themeColor="text1"/>
        </w:rPr>
        <w:t xml:space="preserve"> la medición en el reconocimiento inicial, una entidad medirá los activos y pasivos al costo histórico, a menos que esta NIIF requiera la medición inicial sobre otra base, tal como el valor razonable </w:t>
      </w:r>
      <w:sdt>
        <w:sdtPr>
          <w:rPr>
            <w:rFonts w:ascii="Arial" w:hAnsi="Arial" w:cs="Arial"/>
            <w:color w:val="000000" w:themeColor="text1"/>
          </w:rPr>
          <w:id w:val="113341696"/>
          <w:citation/>
        </w:sdtPr>
        <w:sdtEndPr/>
        <w:sdtContent>
          <w:r w:rsidRPr="001B19EE">
            <w:rPr>
              <w:rFonts w:ascii="Arial" w:hAnsi="Arial" w:cs="Arial"/>
              <w:color w:val="000000" w:themeColor="text1"/>
            </w:rPr>
            <w:fldChar w:fldCharType="begin"/>
          </w:r>
          <w:r w:rsidRPr="001B19EE">
            <w:rPr>
              <w:rFonts w:ascii="Arial" w:hAnsi="Arial" w:cs="Arial"/>
              <w:color w:val="000000" w:themeColor="text1"/>
            </w:rPr>
            <w:instrText xml:space="preserve"> CITATION IFR11 \l 9226 </w:instrText>
          </w:r>
          <w:r w:rsidRPr="001B19EE">
            <w:rPr>
              <w:rFonts w:ascii="Arial" w:hAnsi="Arial" w:cs="Arial"/>
              <w:color w:val="000000" w:themeColor="text1"/>
            </w:rPr>
            <w:fldChar w:fldCharType="separate"/>
          </w:r>
          <w:r w:rsidRPr="001B19EE">
            <w:rPr>
              <w:rFonts w:ascii="Arial" w:hAnsi="Arial" w:cs="Arial"/>
              <w:noProof/>
              <w:color w:val="000000" w:themeColor="text1"/>
            </w:rPr>
            <w:t>(IFRS, 2009)</w:t>
          </w:r>
          <w:r w:rsidRPr="001B19EE">
            <w:rPr>
              <w:rFonts w:ascii="Arial" w:hAnsi="Arial" w:cs="Arial"/>
              <w:color w:val="000000" w:themeColor="text1"/>
            </w:rPr>
            <w:fldChar w:fldCharType="end"/>
          </w:r>
        </w:sdtContent>
      </w:sdt>
    </w:p>
    <w:p w14:paraId="19321889" w14:textId="77777777" w:rsidR="00DA3565" w:rsidRDefault="00DA3565" w:rsidP="00DA3565">
      <w:pPr>
        <w:rPr>
          <w:rFonts w:ascii="Arial" w:hAnsi="Arial" w:cs="Arial"/>
        </w:rPr>
      </w:pPr>
      <w:r w:rsidRPr="001E66BF">
        <w:rPr>
          <w:rFonts w:ascii="Arial" w:hAnsi="Arial" w:cs="Arial"/>
        </w:rPr>
        <w:t>El proceso de medición para los elementos que integran el estado de situación financiera es continuado en el tiempo</w:t>
      </w:r>
      <w:r>
        <w:rPr>
          <w:rFonts w:ascii="Arial" w:hAnsi="Arial" w:cs="Arial"/>
        </w:rPr>
        <w:t>,</w:t>
      </w:r>
      <w:r w:rsidRPr="001E66BF">
        <w:rPr>
          <w:rFonts w:ascii="Arial" w:hAnsi="Arial" w:cs="Arial"/>
        </w:rPr>
        <w:t xml:space="preserve"> mientras el elemento sea controlado por la entidad; en consecuencia, la medición tiene lugar en dos momentos: en el reconocimiento, denominada medición inicial, y al cierre de los estados financieros, medición posterior. Por su parte, los elementos incorporados al estado de resultados se miden por referencia a la medición de los elementos del estado de situación financiera</w:t>
      </w:r>
      <w:r>
        <w:rPr>
          <w:rFonts w:ascii="Arial" w:hAnsi="Arial" w:cs="Arial"/>
        </w:rPr>
        <w:t>.</w:t>
      </w:r>
      <w:r w:rsidRPr="001E66BF">
        <w:rPr>
          <w:rFonts w:ascii="Arial" w:hAnsi="Arial" w:cs="Arial"/>
        </w:rPr>
        <w:t xml:space="preserve"> </w:t>
      </w:r>
      <w:sdt>
        <w:sdtPr>
          <w:rPr>
            <w:rFonts w:ascii="Arial" w:hAnsi="Arial" w:cs="Arial"/>
          </w:rPr>
          <w:id w:val="2036529875"/>
          <w:citation/>
        </w:sdtPr>
        <w:sdtEndPr/>
        <w:sdtContent>
          <w:r w:rsidRPr="001E66BF">
            <w:rPr>
              <w:rFonts w:ascii="Arial" w:hAnsi="Arial" w:cs="Arial"/>
            </w:rPr>
            <w:fldChar w:fldCharType="begin"/>
          </w:r>
          <w:r w:rsidRPr="001E66BF">
            <w:rPr>
              <w:rFonts w:ascii="Arial" w:hAnsi="Arial" w:cs="Arial"/>
            </w:rPr>
            <w:instrText xml:space="preserve"> CITATION Con13 \l 9226 </w:instrText>
          </w:r>
          <w:r w:rsidRPr="001E66BF">
            <w:rPr>
              <w:rFonts w:ascii="Arial" w:hAnsi="Arial" w:cs="Arial"/>
            </w:rPr>
            <w:fldChar w:fldCharType="separate"/>
          </w:r>
          <w:r w:rsidRPr="001E66BF">
            <w:rPr>
              <w:rFonts w:ascii="Arial" w:hAnsi="Arial" w:cs="Arial"/>
              <w:noProof/>
            </w:rPr>
            <w:t>(Contaduría General de la Nación, 2013)</w:t>
          </w:r>
          <w:r w:rsidRPr="001E66BF">
            <w:rPr>
              <w:rFonts w:ascii="Arial" w:hAnsi="Arial" w:cs="Arial"/>
            </w:rPr>
            <w:fldChar w:fldCharType="end"/>
          </w:r>
        </w:sdtContent>
      </w:sdt>
    </w:p>
    <w:p w14:paraId="31E3F08D" w14:textId="77777777" w:rsidR="00DA3565" w:rsidRDefault="00DA3565" w:rsidP="00DA3565">
      <w:pPr>
        <w:rPr>
          <w:rFonts w:ascii="Arial" w:hAnsi="Arial" w:cs="Arial"/>
        </w:rPr>
      </w:pPr>
    </w:p>
    <w:p w14:paraId="10900E38" w14:textId="77777777" w:rsidR="00DA3565" w:rsidRDefault="00DA3565" w:rsidP="00DA3565">
      <w:pPr>
        <w:pStyle w:val="Heading3"/>
        <w:numPr>
          <w:ilvl w:val="0"/>
          <w:numId w:val="3"/>
        </w:numPr>
      </w:pPr>
      <w:bookmarkStart w:id="1" w:name="_Toc508617278"/>
      <w:r w:rsidRPr="001E66BF">
        <w:t>Revelación</w:t>
      </w:r>
      <w:bookmarkEnd w:id="1"/>
      <w:r w:rsidRPr="001E66BF">
        <w:t xml:space="preserve"> </w:t>
      </w:r>
    </w:p>
    <w:p w14:paraId="017E2847" w14:textId="77777777" w:rsidR="00DA3565" w:rsidRPr="007C7FC7" w:rsidRDefault="00DA3565" w:rsidP="00DA3565"/>
    <w:p w14:paraId="5FDBEC88" w14:textId="77777777" w:rsidR="00DA3565" w:rsidRPr="001E66BF" w:rsidRDefault="00DA3565" w:rsidP="00DA3565">
      <w:pPr>
        <w:rPr>
          <w:rFonts w:ascii="Arial" w:hAnsi="Arial" w:cs="Arial"/>
        </w:rPr>
      </w:pPr>
      <w:r w:rsidRPr="001E66BF">
        <w:rPr>
          <w:rFonts w:ascii="Arial" w:hAnsi="Arial" w:cs="Arial"/>
        </w:rPr>
        <w:t xml:space="preserve">El marco conceptual de la NIIF para las </w:t>
      </w:r>
      <w:r>
        <w:rPr>
          <w:rFonts w:ascii="Arial" w:hAnsi="Arial" w:cs="Arial"/>
        </w:rPr>
        <w:t>P</w:t>
      </w:r>
      <w:r w:rsidRPr="001E66BF">
        <w:rPr>
          <w:rFonts w:ascii="Arial" w:hAnsi="Arial" w:cs="Arial"/>
        </w:rPr>
        <w:t>ymes incorpora un criterio de presentación, como es la no compensación de elementos. La finalidad de este criterio es permitir apreciar al usuario de la información la composición de los flujos de efectivo esperados de entrada y de salida y no el flujo neto que se debe determinar</w:t>
      </w:r>
      <w:r>
        <w:rPr>
          <w:rFonts w:ascii="Arial" w:hAnsi="Arial" w:cs="Arial"/>
        </w:rPr>
        <w:t>.</w:t>
      </w:r>
      <w:r w:rsidRPr="001E66BF">
        <w:rPr>
          <w:rFonts w:ascii="Arial" w:hAnsi="Arial" w:cs="Arial"/>
        </w:rPr>
        <w:t xml:space="preserve"> </w:t>
      </w:r>
      <w:sdt>
        <w:sdtPr>
          <w:rPr>
            <w:rFonts w:ascii="Arial" w:hAnsi="Arial" w:cs="Arial"/>
          </w:rPr>
          <w:id w:val="-768162752"/>
          <w:citation/>
        </w:sdtPr>
        <w:sdtEndPr/>
        <w:sdtContent>
          <w:r w:rsidRPr="001E66BF">
            <w:rPr>
              <w:rFonts w:ascii="Arial" w:hAnsi="Arial" w:cs="Arial"/>
            </w:rPr>
            <w:fldChar w:fldCharType="begin"/>
          </w:r>
          <w:r w:rsidRPr="001E66BF">
            <w:rPr>
              <w:rFonts w:ascii="Arial" w:hAnsi="Arial" w:cs="Arial"/>
            </w:rPr>
            <w:instrText xml:space="preserve"> CITATION Con13 \l 9226 </w:instrText>
          </w:r>
          <w:r w:rsidRPr="001E66BF">
            <w:rPr>
              <w:rFonts w:ascii="Arial" w:hAnsi="Arial" w:cs="Arial"/>
            </w:rPr>
            <w:fldChar w:fldCharType="separate"/>
          </w:r>
          <w:r w:rsidRPr="001E66BF">
            <w:rPr>
              <w:rFonts w:ascii="Arial" w:hAnsi="Arial" w:cs="Arial"/>
              <w:noProof/>
            </w:rPr>
            <w:t>(Contaduría General de la Nación, 2013)</w:t>
          </w:r>
          <w:r w:rsidRPr="001E66BF">
            <w:rPr>
              <w:rFonts w:ascii="Arial" w:hAnsi="Arial" w:cs="Arial"/>
            </w:rPr>
            <w:fldChar w:fldCharType="end"/>
          </w:r>
        </w:sdtContent>
      </w:sdt>
    </w:p>
    <w:p w14:paraId="130DF4DA" w14:textId="77777777" w:rsidR="00DA3565" w:rsidRDefault="00DA3565" w:rsidP="00DA3565">
      <w:pPr>
        <w:rPr>
          <w:rFonts w:ascii="Arial" w:hAnsi="Arial" w:cs="Arial"/>
        </w:rPr>
      </w:pPr>
      <w:r w:rsidRPr="001E66BF">
        <w:rPr>
          <w:rFonts w:ascii="Arial" w:hAnsi="Arial" w:cs="Arial"/>
        </w:rPr>
        <w:t>La revelación se realiza mediante la presentación de los estados financieros y las notas a los estados financieros</w:t>
      </w:r>
      <w:r>
        <w:rPr>
          <w:rFonts w:ascii="Arial" w:hAnsi="Arial" w:cs="Arial"/>
        </w:rPr>
        <w:t>. E</w:t>
      </w:r>
      <w:r w:rsidRPr="001E66BF">
        <w:rPr>
          <w:rFonts w:ascii="Arial" w:hAnsi="Arial" w:cs="Arial"/>
        </w:rPr>
        <w:t xml:space="preserve">n las notas </w:t>
      </w:r>
      <w:r>
        <w:rPr>
          <w:rFonts w:ascii="Arial" w:hAnsi="Arial" w:cs="Arial"/>
        </w:rPr>
        <w:t>se incluyen</w:t>
      </w:r>
      <w:r w:rsidRPr="001E66BF">
        <w:rPr>
          <w:rFonts w:ascii="Arial" w:hAnsi="Arial" w:cs="Arial"/>
        </w:rPr>
        <w:t xml:space="preserve"> los comentarios y </w:t>
      </w:r>
      <w:r>
        <w:rPr>
          <w:rFonts w:ascii="Arial" w:hAnsi="Arial" w:cs="Arial"/>
        </w:rPr>
        <w:t xml:space="preserve">las </w:t>
      </w:r>
      <w:r w:rsidRPr="001E66BF">
        <w:rPr>
          <w:rFonts w:ascii="Arial" w:hAnsi="Arial" w:cs="Arial"/>
        </w:rPr>
        <w:t xml:space="preserve">explicaciones de los estados financieros de una organización. </w:t>
      </w:r>
    </w:p>
    <w:p w14:paraId="19770D2A" w14:textId="77777777" w:rsidR="00DA3565" w:rsidRPr="00541D91" w:rsidRDefault="00DA3565" w:rsidP="00541D91">
      <w:pPr>
        <w:rPr>
          <w:rFonts w:ascii="Arial" w:hAnsi="Arial" w:cs="Arial"/>
        </w:rPr>
      </w:pPr>
      <w:r w:rsidRPr="001E66BF">
        <w:rPr>
          <w:rFonts w:ascii="Arial" w:hAnsi="Arial" w:cs="Arial"/>
        </w:rPr>
        <w:t>De acuerdo con</w:t>
      </w:r>
      <w:r>
        <w:rPr>
          <w:rFonts w:ascii="Arial" w:hAnsi="Arial" w:cs="Arial"/>
        </w:rPr>
        <w:t xml:space="preserve"> IFRS (2009), </w:t>
      </w:r>
      <w:r w:rsidRPr="001E66BF">
        <w:rPr>
          <w:rFonts w:ascii="Arial" w:hAnsi="Arial" w:cs="Arial"/>
        </w:rPr>
        <w:t>el conjunto de estados financieros está compuesto por:</w:t>
      </w:r>
      <w:bookmarkStart w:id="2" w:name="_GoBack"/>
      <w:bookmarkEnd w:id="2"/>
    </w:p>
    <w:p w14:paraId="0740C00E" w14:textId="77777777" w:rsidR="00DA3565" w:rsidRPr="001E66BF" w:rsidRDefault="00DA3565" w:rsidP="00DA3565">
      <w:pPr>
        <w:pStyle w:val="ListParagraph"/>
        <w:numPr>
          <w:ilvl w:val="0"/>
          <w:numId w:val="4"/>
        </w:numPr>
        <w:spacing w:after="0" w:line="240" w:lineRule="auto"/>
        <w:rPr>
          <w:rFonts w:ascii="Arial" w:hAnsi="Arial" w:cs="Arial"/>
        </w:rPr>
      </w:pPr>
      <w:r w:rsidRPr="001E66BF">
        <w:rPr>
          <w:rFonts w:ascii="Arial" w:hAnsi="Arial" w:cs="Arial"/>
        </w:rPr>
        <w:t>Un estado de situación financiera.</w:t>
      </w:r>
    </w:p>
    <w:p w14:paraId="5A148A9D" w14:textId="77777777" w:rsidR="00DA3565" w:rsidRPr="001E66BF" w:rsidRDefault="00DA3565" w:rsidP="00DA3565">
      <w:pPr>
        <w:pStyle w:val="ListParagraph"/>
        <w:numPr>
          <w:ilvl w:val="0"/>
          <w:numId w:val="4"/>
        </w:numPr>
        <w:spacing w:after="0" w:line="240" w:lineRule="auto"/>
        <w:rPr>
          <w:rFonts w:ascii="Arial" w:hAnsi="Arial" w:cs="Arial"/>
        </w:rPr>
      </w:pPr>
      <w:r w:rsidRPr="001E66BF">
        <w:rPr>
          <w:rFonts w:ascii="Arial" w:hAnsi="Arial" w:cs="Arial"/>
        </w:rPr>
        <w:t xml:space="preserve">Una u otra de las siguientes informaciones: </w:t>
      </w:r>
      <w:r>
        <w:rPr>
          <w:rFonts w:ascii="Arial" w:hAnsi="Arial" w:cs="Arial"/>
        </w:rPr>
        <w:t>u</w:t>
      </w:r>
      <w:r w:rsidRPr="001E66BF">
        <w:rPr>
          <w:rFonts w:ascii="Arial" w:hAnsi="Arial" w:cs="Arial"/>
        </w:rPr>
        <w:t>n solo estado del resultado integral o un estado de resultados separado</w:t>
      </w:r>
      <w:r>
        <w:rPr>
          <w:rFonts w:ascii="Arial" w:hAnsi="Arial" w:cs="Arial"/>
        </w:rPr>
        <w:t>,</w:t>
      </w:r>
      <w:r w:rsidRPr="001E66BF">
        <w:rPr>
          <w:rFonts w:ascii="Arial" w:hAnsi="Arial" w:cs="Arial"/>
        </w:rPr>
        <w:t xml:space="preserve"> y un estado del resultado integral separado.</w:t>
      </w:r>
    </w:p>
    <w:p w14:paraId="61168558" w14:textId="77777777" w:rsidR="00DA3565" w:rsidRPr="001E66BF" w:rsidRDefault="00DA3565" w:rsidP="00DA3565">
      <w:pPr>
        <w:pStyle w:val="ListParagraph"/>
        <w:numPr>
          <w:ilvl w:val="0"/>
          <w:numId w:val="4"/>
        </w:numPr>
        <w:spacing w:after="0" w:line="240" w:lineRule="auto"/>
        <w:rPr>
          <w:rFonts w:ascii="Arial" w:hAnsi="Arial" w:cs="Arial"/>
        </w:rPr>
      </w:pPr>
      <w:r w:rsidRPr="001E66BF">
        <w:rPr>
          <w:rFonts w:ascii="Arial" w:hAnsi="Arial" w:cs="Arial"/>
        </w:rPr>
        <w:t xml:space="preserve">Un estado de cambios en el </w:t>
      </w:r>
      <w:r w:rsidRPr="007C7FC7">
        <w:rPr>
          <w:rFonts w:ascii="Arial" w:hAnsi="Arial" w:cs="Arial"/>
        </w:rPr>
        <w:t>patrimonio</w:t>
      </w:r>
      <w:r w:rsidRPr="001E66BF">
        <w:rPr>
          <w:rFonts w:ascii="Arial" w:hAnsi="Arial" w:cs="Arial"/>
        </w:rPr>
        <w:t>.</w:t>
      </w:r>
    </w:p>
    <w:p w14:paraId="380678C8" w14:textId="77777777" w:rsidR="00DA3565" w:rsidRPr="001E66BF" w:rsidRDefault="00DA3565" w:rsidP="00DA3565">
      <w:pPr>
        <w:pStyle w:val="ListParagraph"/>
        <w:numPr>
          <w:ilvl w:val="0"/>
          <w:numId w:val="4"/>
        </w:numPr>
        <w:spacing w:after="0" w:line="240" w:lineRule="auto"/>
        <w:rPr>
          <w:rFonts w:ascii="Arial" w:hAnsi="Arial" w:cs="Arial"/>
        </w:rPr>
      </w:pPr>
      <w:r w:rsidRPr="001E66BF">
        <w:rPr>
          <w:rFonts w:ascii="Arial" w:hAnsi="Arial" w:cs="Arial"/>
        </w:rPr>
        <w:t>Un estado de flujos de efectivo.</w:t>
      </w:r>
    </w:p>
    <w:p w14:paraId="6B545523" w14:textId="77777777" w:rsidR="00DA3565" w:rsidRPr="001E66BF" w:rsidRDefault="00DA3565" w:rsidP="00DA3565">
      <w:pPr>
        <w:pStyle w:val="ListParagraph"/>
        <w:numPr>
          <w:ilvl w:val="0"/>
          <w:numId w:val="4"/>
        </w:numPr>
        <w:spacing w:after="0" w:line="240" w:lineRule="auto"/>
        <w:rPr>
          <w:rFonts w:ascii="Arial" w:hAnsi="Arial" w:cs="Arial"/>
        </w:rPr>
      </w:pPr>
      <w:r w:rsidRPr="001E66BF">
        <w:rPr>
          <w:rFonts w:ascii="Arial" w:hAnsi="Arial" w:cs="Arial"/>
        </w:rPr>
        <w:t>Notas.</w:t>
      </w:r>
    </w:p>
    <w:p w14:paraId="1D5320AB" w14:textId="77777777" w:rsidR="00DA3565" w:rsidRDefault="00DA3565" w:rsidP="00DA3565">
      <w:pPr>
        <w:rPr>
          <w:rFonts w:ascii="Arial" w:hAnsi="Arial" w:cs="Arial"/>
        </w:rPr>
      </w:pPr>
    </w:p>
    <w:p w14:paraId="19190AD4" w14:textId="77777777" w:rsidR="00DA3565" w:rsidRPr="001E66BF" w:rsidRDefault="00DA3565" w:rsidP="00DA3565">
      <w:pPr>
        <w:rPr>
          <w:rFonts w:ascii="Arial" w:hAnsi="Arial" w:cs="Arial"/>
        </w:rPr>
      </w:pPr>
    </w:p>
    <w:p w14:paraId="70C11E29" w14:textId="77777777" w:rsidR="00DA3565" w:rsidRPr="001E66BF" w:rsidRDefault="00DA3565" w:rsidP="00DA3565">
      <w:pPr>
        <w:rPr>
          <w:rFonts w:ascii="Arial" w:hAnsi="Arial" w:cs="Arial"/>
        </w:rPr>
      </w:pPr>
    </w:p>
    <w:p w14:paraId="3BAEFF1C" w14:textId="77777777" w:rsidR="00DA3565" w:rsidRPr="00DA3565" w:rsidRDefault="00DA3565" w:rsidP="00DA3565">
      <w:pPr>
        <w:rPr>
          <w:rFonts w:ascii="Arial" w:hAnsi="Arial" w:cs="Arial"/>
        </w:rPr>
      </w:pPr>
    </w:p>
    <w:sectPr w:rsidR="00DA3565" w:rsidRPr="00DA35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07FF"/>
    <w:multiLevelType w:val="hybridMultilevel"/>
    <w:tmpl w:val="79AC1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7476778"/>
    <w:multiLevelType w:val="hybridMultilevel"/>
    <w:tmpl w:val="986015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5763A62"/>
    <w:multiLevelType w:val="multilevel"/>
    <w:tmpl w:val="64823836"/>
    <w:lvl w:ilvl="0">
      <w:start w:val="1"/>
      <w:numFmt w:val="decimal"/>
      <w:pStyle w:val="Heading1"/>
      <w:lvlText w:val="%1"/>
      <w:lvlJc w:val="left"/>
      <w:pPr>
        <w:ind w:left="2701"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728235CF"/>
    <w:multiLevelType w:val="hybridMultilevel"/>
    <w:tmpl w:val="BD0E56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65"/>
    <w:rsid w:val="000531CA"/>
    <w:rsid w:val="001007C8"/>
    <w:rsid w:val="00541D91"/>
    <w:rsid w:val="009F6BA8"/>
    <w:rsid w:val="00DA3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19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A3565"/>
    <w:pPr>
      <w:keepNext/>
      <w:keepLines/>
      <w:numPr>
        <w:numId w:val="2"/>
      </w:numPr>
      <w:spacing w:before="480" w:after="0" w:line="240" w:lineRule="auto"/>
      <w:ind w:left="432"/>
      <w:outlineLvl w:val="0"/>
    </w:pPr>
    <w:rPr>
      <w:rFonts w:ascii="Times New Roman" w:eastAsiaTheme="majorEastAsia" w:hAnsi="Times New Roman" w:cstheme="majorBidi"/>
      <w:b/>
      <w:bCs/>
      <w:color w:val="000000" w:themeColor="text1"/>
      <w:sz w:val="24"/>
      <w:szCs w:val="32"/>
      <w:lang w:eastAsia="es-CO"/>
    </w:rPr>
  </w:style>
  <w:style w:type="paragraph" w:styleId="Heading2">
    <w:name w:val="heading 2"/>
    <w:basedOn w:val="Normal"/>
    <w:next w:val="Normal"/>
    <w:link w:val="Heading2Char"/>
    <w:autoRedefine/>
    <w:uiPriority w:val="9"/>
    <w:unhideWhenUsed/>
    <w:qFormat/>
    <w:rsid w:val="00DA3565"/>
    <w:pPr>
      <w:keepNext/>
      <w:keepLines/>
      <w:numPr>
        <w:ilvl w:val="1"/>
        <w:numId w:val="2"/>
      </w:numPr>
      <w:spacing w:before="200" w:after="0" w:line="240" w:lineRule="auto"/>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autoRedefine/>
    <w:uiPriority w:val="9"/>
    <w:unhideWhenUsed/>
    <w:qFormat/>
    <w:rsid w:val="00DA3565"/>
    <w:pPr>
      <w:keepNext/>
      <w:keepLines/>
      <w:spacing w:before="200" w:after="0" w:line="240" w:lineRule="auto"/>
      <w:ind w:left="720" w:hanging="720"/>
      <w:outlineLvl w:val="2"/>
    </w:pPr>
    <w:rPr>
      <w:rFonts w:ascii="Arial" w:eastAsiaTheme="majorEastAsia" w:hAnsi="Arial" w:cs="Arial"/>
      <w:b/>
      <w:bCs/>
      <w:lang w:eastAsia="es-CO"/>
    </w:rPr>
  </w:style>
  <w:style w:type="paragraph" w:styleId="Heading4">
    <w:name w:val="heading 4"/>
    <w:basedOn w:val="Normal"/>
    <w:next w:val="Normal"/>
    <w:link w:val="Heading4Char"/>
    <w:uiPriority w:val="9"/>
    <w:unhideWhenUsed/>
    <w:qFormat/>
    <w:rsid w:val="00DA3565"/>
    <w:pPr>
      <w:keepNext/>
      <w:keepLines/>
      <w:numPr>
        <w:ilvl w:val="3"/>
        <w:numId w:val="2"/>
      </w:numPr>
      <w:spacing w:before="200" w:after="0" w:line="240" w:lineRule="auto"/>
      <w:jc w:val="both"/>
      <w:outlineLvl w:val="3"/>
    </w:pPr>
    <w:rPr>
      <w:rFonts w:ascii="Times New Roman" w:eastAsiaTheme="majorEastAsia" w:hAnsi="Times New Roman" w:cstheme="majorBidi"/>
      <w:bCs/>
      <w:i/>
      <w:iCs/>
      <w:color w:val="000000" w:themeColor="text1"/>
      <w:sz w:val="24"/>
      <w:szCs w:val="20"/>
      <w:lang w:eastAsia="es-CO"/>
    </w:rPr>
  </w:style>
  <w:style w:type="paragraph" w:styleId="Heading5">
    <w:name w:val="heading 5"/>
    <w:basedOn w:val="Normal"/>
    <w:next w:val="Normal"/>
    <w:link w:val="Heading5Char"/>
    <w:uiPriority w:val="9"/>
    <w:semiHidden/>
    <w:unhideWhenUsed/>
    <w:qFormat/>
    <w:rsid w:val="00DA3565"/>
    <w:pPr>
      <w:keepNext/>
      <w:keepLines/>
      <w:numPr>
        <w:ilvl w:val="4"/>
        <w:numId w:val="2"/>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DA3565"/>
    <w:pPr>
      <w:keepNext/>
      <w:keepLines/>
      <w:numPr>
        <w:ilvl w:val="5"/>
        <w:numId w:val="2"/>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DA3565"/>
    <w:pPr>
      <w:keepNext/>
      <w:keepLines/>
      <w:numPr>
        <w:ilvl w:val="6"/>
        <w:numId w:val="2"/>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DA3565"/>
    <w:pPr>
      <w:keepNext/>
      <w:keepLines/>
      <w:numPr>
        <w:ilvl w:val="7"/>
        <w:numId w:val="2"/>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DA3565"/>
    <w:pPr>
      <w:keepNext/>
      <w:keepLines/>
      <w:numPr>
        <w:ilvl w:val="8"/>
        <w:numId w:val="2"/>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3565"/>
    <w:pPr>
      <w:ind w:left="720"/>
      <w:contextualSpacing/>
    </w:pPr>
  </w:style>
  <w:style w:type="character" w:customStyle="1" w:styleId="Heading1Char">
    <w:name w:val="Heading 1 Char"/>
    <w:basedOn w:val="DefaultParagraphFont"/>
    <w:link w:val="Heading1"/>
    <w:uiPriority w:val="9"/>
    <w:rsid w:val="00DA3565"/>
    <w:rPr>
      <w:rFonts w:ascii="Times New Roman" w:eastAsiaTheme="majorEastAsia" w:hAnsi="Times New Roman" w:cstheme="majorBidi"/>
      <w:b/>
      <w:bCs/>
      <w:color w:val="000000" w:themeColor="text1"/>
      <w:sz w:val="24"/>
      <w:szCs w:val="32"/>
      <w:lang w:eastAsia="es-CO"/>
    </w:rPr>
  </w:style>
  <w:style w:type="character" w:customStyle="1" w:styleId="Heading2Char">
    <w:name w:val="Heading 2 Char"/>
    <w:basedOn w:val="DefaultParagraphFont"/>
    <w:link w:val="Heading2"/>
    <w:uiPriority w:val="9"/>
    <w:rsid w:val="00DA3565"/>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DA3565"/>
    <w:rPr>
      <w:rFonts w:ascii="Arial" w:eastAsiaTheme="majorEastAsia" w:hAnsi="Arial" w:cs="Arial"/>
      <w:b/>
      <w:bCs/>
      <w:lang w:eastAsia="es-CO"/>
    </w:rPr>
  </w:style>
  <w:style w:type="character" w:customStyle="1" w:styleId="Heading4Char">
    <w:name w:val="Heading 4 Char"/>
    <w:basedOn w:val="DefaultParagraphFont"/>
    <w:link w:val="Heading4"/>
    <w:uiPriority w:val="9"/>
    <w:rsid w:val="00DA3565"/>
    <w:rPr>
      <w:rFonts w:ascii="Times New Roman" w:eastAsiaTheme="majorEastAsia" w:hAnsi="Times New Roman" w:cstheme="majorBidi"/>
      <w:bCs/>
      <w:i/>
      <w:iCs/>
      <w:color w:val="000000" w:themeColor="text1"/>
      <w:sz w:val="24"/>
      <w:szCs w:val="20"/>
      <w:lang w:eastAsia="es-CO"/>
    </w:rPr>
  </w:style>
  <w:style w:type="character" w:customStyle="1" w:styleId="Heading5Char">
    <w:name w:val="Heading 5 Char"/>
    <w:basedOn w:val="DefaultParagraphFont"/>
    <w:link w:val="Heading5"/>
    <w:uiPriority w:val="9"/>
    <w:semiHidden/>
    <w:rsid w:val="00DA3565"/>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DA3565"/>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DA3565"/>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DA3565"/>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DA3565"/>
    <w:rPr>
      <w:rFonts w:asciiTheme="majorHAnsi" w:eastAsiaTheme="majorEastAsia" w:hAnsiTheme="majorHAnsi" w:cstheme="majorBidi"/>
      <w:i/>
      <w:iCs/>
      <w:color w:val="404040" w:themeColor="text1" w:themeTint="BF"/>
      <w:sz w:val="20"/>
      <w:szCs w:val="20"/>
      <w:lang w:eastAsia="es-CO"/>
    </w:rPr>
  </w:style>
  <w:style w:type="paragraph" w:styleId="NormalWeb">
    <w:name w:val="Normal (Web)"/>
    <w:basedOn w:val="Normal"/>
    <w:uiPriority w:val="99"/>
    <w:semiHidden/>
    <w:unhideWhenUsed/>
    <w:rsid w:val="00DA3565"/>
    <w:pPr>
      <w:spacing w:before="100" w:beforeAutospacing="1" w:after="100" w:afterAutospacing="1" w:line="240" w:lineRule="auto"/>
    </w:pPr>
    <w:rPr>
      <w:rFonts w:ascii="Times" w:eastAsia="Times New Roman" w:hAnsi="Times" w:cs="Times New Roman"/>
      <w:sz w:val="20"/>
      <w:szCs w:val="20"/>
      <w:lang w:val="es-ES_tradnl" w:eastAsia="es-ES"/>
    </w:rPr>
  </w:style>
  <w:style w:type="paragraph" w:styleId="BalloonText">
    <w:name w:val="Balloon Text"/>
    <w:basedOn w:val="Normal"/>
    <w:link w:val="BalloonTextChar"/>
    <w:uiPriority w:val="99"/>
    <w:semiHidden/>
    <w:unhideWhenUsed/>
    <w:rsid w:val="00541D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D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A3565"/>
    <w:pPr>
      <w:keepNext/>
      <w:keepLines/>
      <w:numPr>
        <w:numId w:val="2"/>
      </w:numPr>
      <w:spacing w:before="480" w:after="0" w:line="240" w:lineRule="auto"/>
      <w:ind w:left="432"/>
      <w:outlineLvl w:val="0"/>
    </w:pPr>
    <w:rPr>
      <w:rFonts w:ascii="Times New Roman" w:eastAsiaTheme="majorEastAsia" w:hAnsi="Times New Roman" w:cstheme="majorBidi"/>
      <w:b/>
      <w:bCs/>
      <w:color w:val="000000" w:themeColor="text1"/>
      <w:sz w:val="24"/>
      <w:szCs w:val="32"/>
      <w:lang w:eastAsia="es-CO"/>
    </w:rPr>
  </w:style>
  <w:style w:type="paragraph" w:styleId="Heading2">
    <w:name w:val="heading 2"/>
    <w:basedOn w:val="Normal"/>
    <w:next w:val="Normal"/>
    <w:link w:val="Heading2Char"/>
    <w:autoRedefine/>
    <w:uiPriority w:val="9"/>
    <w:unhideWhenUsed/>
    <w:qFormat/>
    <w:rsid w:val="00DA3565"/>
    <w:pPr>
      <w:keepNext/>
      <w:keepLines/>
      <w:numPr>
        <w:ilvl w:val="1"/>
        <w:numId w:val="2"/>
      </w:numPr>
      <w:spacing w:before="200" w:after="0" w:line="240" w:lineRule="auto"/>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autoRedefine/>
    <w:uiPriority w:val="9"/>
    <w:unhideWhenUsed/>
    <w:qFormat/>
    <w:rsid w:val="00DA3565"/>
    <w:pPr>
      <w:keepNext/>
      <w:keepLines/>
      <w:spacing w:before="200" w:after="0" w:line="240" w:lineRule="auto"/>
      <w:ind w:left="720" w:hanging="720"/>
      <w:outlineLvl w:val="2"/>
    </w:pPr>
    <w:rPr>
      <w:rFonts w:ascii="Arial" w:eastAsiaTheme="majorEastAsia" w:hAnsi="Arial" w:cs="Arial"/>
      <w:b/>
      <w:bCs/>
      <w:lang w:eastAsia="es-CO"/>
    </w:rPr>
  </w:style>
  <w:style w:type="paragraph" w:styleId="Heading4">
    <w:name w:val="heading 4"/>
    <w:basedOn w:val="Normal"/>
    <w:next w:val="Normal"/>
    <w:link w:val="Heading4Char"/>
    <w:uiPriority w:val="9"/>
    <w:unhideWhenUsed/>
    <w:qFormat/>
    <w:rsid w:val="00DA3565"/>
    <w:pPr>
      <w:keepNext/>
      <w:keepLines/>
      <w:numPr>
        <w:ilvl w:val="3"/>
        <w:numId w:val="2"/>
      </w:numPr>
      <w:spacing w:before="200" w:after="0" w:line="240" w:lineRule="auto"/>
      <w:jc w:val="both"/>
      <w:outlineLvl w:val="3"/>
    </w:pPr>
    <w:rPr>
      <w:rFonts w:ascii="Times New Roman" w:eastAsiaTheme="majorEastAsia" w:hAnsi="Times New Roman" w:cstheme="majorBidi"/>
      <w:bCs/>
      <w:i/>
      <w:iCs/>
      <w:color w:val="000000" w:themeColor="text1"/>
      <w:sz w:val="24"/>
      <w:szCs w:val="20"/>
      <w:lang w:eastAsia="es-CO"/>
    </w:rPr>
  </w:style>
  <w:style w:type="paragraph" w:styleId="Heading5">
    <w:name w:val="heading 5"/>
    <w:basedOn w:val="Normal"/>
    <w:next w:val="Normal"/>
    <w:link w:val="Heading5Char"/>
    <w:uiPriority w:val="9"/>
    <w:semiHidden/>
    <w:unhideWhenUsed/>
    <w:qFormat/>
    <w:rsid w:val="00DA3565"/>
    <w:pPr>
      <w:keepNext/>
      <w:keepLines/>
      <w:numPr>
        <w:ilvl w:val="4"/>
        <w:numId w:val="2"/>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DA3565"/>
    <w:pPr>
      <w:keepNext/>
      <w:keepLines/>
      <w:numPr>
        <w:ilvl w:val="5"/>
        <w:numId w:val="2"/>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DA3565"/>
    <w:pPr>
      <w:keepNext/>
      <w:keepLines/>
      <w:numPr>
        <w:ilvl w:val="6"/>
        <w:numId w:val="2"/>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DA3565"/>
    <w:pPr>
      <w:keepNext/>
      <w:keepLines/>
      <w:numPr>
        <w:ilvl w:val="7"/>
        <w:numId w:val="2"/>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DA3565"/>
    <w:pPr>
      <w:keepNext/>
      <w:keepLines/>
      <w:numPr>
        <w:ilvl w:val="8"/>
        <w:numId w:val="2"/>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3565"/>
    <w:pPr>
      <w:ind w:left="720"/>
      <w:contextualSpacing/>
    </w:pPr>
  </w:style>
  <w:style w:type="character" w:customStyle="1" w:styleId="Heading1Char">
    <w:name w:val="Heading 1 Char"/>
    <w:basedOn w:val="DefaultParagraphFont"/>
    <w:link w:val="Heading1"/>
    <w:uiPriority w:val="9"/>
    <w:rsid w:val="00DA3565"/>
    <w:rPr>
      <w:rFonts w:ascii="Times New Roman" w:eastAsiaTheme="majorEastAsia" w:hAnsi="Times New Roman" w:cstheme="majorBidi"/>
      <w:b/>
      <w:bCs/>
      <w:color w:val="000000" w:themeColor="text1"/>
      <w:sz w:val="24"/>
      <w:szCs w:val="32"/>
      <w:lang w:eastAsia="es-CO"/>
    </w:rPr>
  </w:style>
  <w:style w:type="character" w:customStyle="1" w:styleId="Heading2Char">
    <w:name w:val="Heading 2 Char"/>
    <w:basedOn w:val="DefaultParagraphFont"/>
    <w:link w:val="Heading2"/>
    <w:uiPriority w:val="9"/>
    <w:rsid w:val="00DA3565"/>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DA3565"/>
    <w:rPr>
      <w:rFonts w:ascii="Arial" w:eastAsiaTheme="majorEastAsia" w:hAnsi="Arial" w:cs="Arial"/>
      <w:b/>
      <w:bCs/>
      <w:lang w:eastAsia="es-CO"/>
    </w:rPr>
  </w:style>
  <w:style w:type="character" w:customStyle="1" w:styleId="Heading4Char">
    <w:name w:val="Heading 4 Char"/>
    <w:basedOn w:val="DefaultParagraphFont"/>
    <w:link w:val="Heading4"/>
    <w:uiPriority w:val="9"/>
    <w:rsid w:val="00DA3565"/>
    <w:rPr>
      <w:rFonts w:ascii="Times New Roman" w:eastAsiaTheme="majorEastAsia" w:hAnsi="Times New Roman" w:cstheme="majorBidi"/>
      <w:bCs/>
      <w:i/>
      <w:iCs/>
      <w:color w:val="000000" w:themeColor="text1"/>
      <w:sz w:val="24"/>
      <w:szCs w:val="20"/>
      <w:lang w:eastAsia="es-CO"/>
    </w:rPr>
  </w:style>
  <w:style w:type="character" w:customStyle="1" w:styleId="Heading5Char">
    <w:name w:val="Heading 5 Char"/>
    <w:basedOn w:val="DefaultParagraphFont"/>
    <w:link w:val="Heading5"/>
    <w:uiPriority w:val="9"/>
    <w:semiHidden/>
    <w:rsid w:val="00DA3565"/>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DA3565"/>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DA3565"/>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DA3565"/>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DA3565"/>
    <w:rPr>
      <w:rFonts w:asciiTheme="majorHAnsi" w:eastAsiaTheme="majorEastAsia" w:hAnsiTheme="majorHAnsi" w:cstheme="majorBidi"/>
      <w:i/>
      <w:iCs/>
      <w:color w:val="404040" w:themeColor="text1" w:themeTint="BF"/>
      <w:sz w:val="20"/>
      <w:szCs w:val="20"/>
      <w:lang w:eastAsia="es-CO"/>
    </w:rPr>
  </w:style>
  <w:style w:type="paragraph" w:styleId="NormalWeb">
    <w:name w:val="Normal (Web)"/>
    <w:basedOn w:val="Normal"/>
    <w:uiPriority w:val="99"/>
    <w:semiHidden/>
    <w:unhideWhenUsed/>
    <w:rsid w:val="00DA3565"/>
    <w:pPr>
      <w:spacing w:before="100" w:beforeAutospacing="1" w:after="100" w:afterAutospacing="1" w:line="240" w:lineRule="auto"/>
    </w:pPr>
    <w:rPr>
      <w:rFonts w:ascii="Times" w:eastAsia="Times New Roman" w:hAnsi="Times" w:cs="Times New Roman"/>
      <w:sz w:val="20"/>
      <w:szCs w:val="20"/>
      <w:lang w:val="es-ES_tradnl" w:eastAsia="es-ES"/>
    </w:rPr>
  </w:style>
  <w:style w:type="paragraph" w:styleId="BalloonText">
    <w:name w:val="Balloon Text"/>
    <w:basedOn w:val="Normal"/>
    <w:link w:val="BalloonTextChar"/>
    <w:uiPriority w:val="99"/>
    <w:semiHidden/>
    <w:unhideWhenUsed/>
    <w:rsid w:val="00541D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D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3926">
      <w:bodyDiv w:val="1"/>
      <w:marLeft w:val="0"/>
      <w:marRight w:val="0"/>
      <w:marTop w:val="0"/>
      <w:marBottom w:val="0"/>
      <w:divBdr>
        <w:top w:val="none" w:sz="0" w:space="0" w:color="auto"/>
        <w:left w:val="none" w:sz="0" w:space="0" w:color="auto"/>
        <w:bottom w:val="none" w:sz="0" w:space="0" w:color="auto"/>
        <w:right w:val="none" w:sz="0" w:space="0" w:color="auto"/>
      </w:divBdr>
      <w:divsChild>
        <w:div w:id="200732350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IFR11</b:Tag>
    <b:SourceType>Book</b:SourceType>
    <b:Guid>{BB2CF2AA-8ADB-468E-936C-92A064DC8859}</b:Guid>
    <b:Title>NIIF para las PYMES</b:Title>
    <b:Year>2009</b:Year>
    <b:Author>
      <b:Author>
        <b:Corporate>IFRS</b:Corporate>
      </b:Author>
    </b:Author>
    <b:City>London</b:City>
    <b:Publisher>Foundation IFRS</b:Publisher>
    <b:RefOrder>3</b:RefOrder>
  </b:Source>
  <b:Source>
    <b:Tag>Con13</b:Tag>
    <b:SourceType>Report</b:SourceType>
    <b:Guid>{951D14B3-98AA-4E5D-81E0-16E6765765DD}</b:Guid>
    <b:Author>
      <b:Author>
        <b:Corporate>Contaduría General de la Nación</b:Corporate>
      </b:Author>
    </b:Author>
    <b:Title>Marco conceptual para la preparación y presentación de información financiera</b:Title>
    <b:Year>2013</b:Year>
    <b:Publisher>Contaduría General de la Nación</b:Publisher>
    <b:RefOrder>4</b:RefOrder>
  </b:Source>
</b:Sources>
</file>

<file path=customXml/itemProps1.xml><?xml version="1.0" encoding="utf-8"?>
<ds:datastoreItem xmlns:ds="http://schemas.openxmlformats.org/officeDocument/2006/customXml" ds:itemID="{004F0DEB-C97E-EA43-9ED5-8D823180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3010</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2</cp:revision>
  <dcterms:created xsi:type="dcterms:W3CDTF">2018-06-07T22:11:00Z</dcterms:created>
  <dcterms:modified xsi:type="dcterms:W3CDTF">2018-07-02T17:22:00Z</dcterms:modified>
</cp:coreProperties>
</file>