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E2D" w:rsidRDefault="00DC625B" w:rsidP="00DC625B">
      <w:pPr>
        <w:jc w:val="center"/>
        <w:rPr>
          <w:b/>
          <w:bCs/>
        </w:rPr>
      </w:pPr>
      <w:r w:rsidRPr="00634D8A">
        <w:rPr>
          <w:b/>
          <w:bCs/>
          <w:highlight w:val="green"/>
        </w:rPr>
        <w:t>Interactivo 1 pantalla</w:t>
      </w:r>
    </w:p>
    <w:p w:rsidR="00DC625B" w:rsidRDefault="00DC625B" w:rsidP="00DC625B">
      <w:pPr>
        <w:jc w:val="center"/>
        <w:rPr>
          <w:color w:val="000000" w:themeColor="text1"/>
        </w:rPr>
      </w:pPr>
      <w:r w:rsidRPr="00634D8A">
        <w:rPr>
          <w:b/>
          <w:bCs/>
          <w:highlight w:val="green"/>
        </w:rPr>
        <w:t>Título:</w:t>
      </w:r>
      <w:r w:rsidRPr="001E374A">
        <w:rPr>
          <w:b/>
          <w:bCs/>
        </w:rPr>
        <w:t xml:space="preserve"> </w:t>
      </w:r>
      <w:r w:rsidR="001E374A" w:rsidRPr="001E374A">
        <w:rPr>
          <w:b/>
          <w:bCs/>
          <w:color w:val="000000" w:themeColor="text1"/>
        </w:rPr>
        <w:t>categorías corrientes y no corrientes</w:t>
      </w:r>
      <w:r w:rsidR="001E374A">
        <w:rPr>
          <w:color w:val="000000" w:themeColor="text1"/>
        </w:rPr>
        <w:t>.</w:t>
      </w:r>
    </w:p>
    <w:p w:rsidR="001E374A" w:rsidRDefault="001E374A" w:rsidP="00DC625B">
      <w:pPr>
        <w:jc w:val="center"/>
      </w:pPr>
      <w:r w:rsidRPr="001E374A">
        <w:rPr>
          <w:b/>
          <w:bCs/>
          <w:color w:val="000000" w:themeColor="text1"/>
        </w:rPr>
        <w:t xml:space="preserve">Referente gráfico: </w:t>
      </w:r>
      <w:hyperlink r:id="rId5" w:history="1">
        <w:r w:rsidR="00871B5A" w:rsidRPr="004F53DF">
          <w:rPr>
            <w:rStyle w:val="Hipervnculo"/>
          </w:rPr>
          <w:t>https://www.gettyimages.es/detail/ilustraci%C3%B3n/businessmen-up-and-down-business-ilustraciones-libres-de-derechos/165728966?adppopup=true</w:t>
        </w:r>
      </w:hyperlink>
    </w:p>
    <w:p w:rsidR="00871B5A" w:rsidRPr="001E374A" w:rsidRDefault="00871B5A" w:rsidP="00DC625B">
      <w:pPr>
        <w:jc w:val="center"/>
        <w:rPr>
          <w:b/>
          <w:bCs/>
        </w:rPr>
      </w:pPr>
    </w:p>
    <w:p w:rsidR="00736FD6" w:rsidRPr="001E374A" w:rsidRDefault="00736FD6">
      <w:pPr>
        <w:rPr>
          <w:b/>
          <w:bCs/>
        </w:rPr>
      </w:pPr>
    </w:p>
    <w:p w:rsidR="00736FD6" w:rsidRDefault="00871B5A" w:rsidP="00871B5A">
      <w:pPr>
        <w:jc w:val="center"/>
      </w:pPr>
      <w:r>
        <w:rPr>
          <w:noProof/>
        </w:rPr>
        <w:drawing>
          <wp:inline distT="0" distB="0" distL="0" distR="0">
            <wp:extent cx="3695700" cy="4784171"/>
            <wp:effectExtent l="0" t="0" r="0" b="0"/>
            <wp:docPr id="2" name="Imagen 2" descr="De subida y bajada : Ilustración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 subida y bajada : Ilustración de sto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717" cy="4785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FD6" w:rsidRDefault="00736FD6"/>
    <w:p w:rsidR="00736FD6" w:rsidRDefault="00736FD6"/>
    <w:p w:rsidR="00736FD6" w:rsidRDefault="001E374A">
      <w:r w:rsidRPr="001E374A">
        <w:rPr>
          <w:highlight w:val="green"/>
        </w:rPr>
        <w:t>Al hacer clic en cada</w:t>
      </w:r>
      <w:r w:rsidR="00871B5A">
        <w:rPr>
          <w:highlight w:val="green"/>
        </w:rPr>
        <w:t xml:space="preserve"> flecha</w:t>
      </w:r>
      <w:bookmarkStart w:id="0" w:name="_GoBack"/>
      <w:bookmarkEnd w:id="0"/>
      <w:r w:rsidRPr="001E374A">
        <w:rPr>
          <w:highlight w:val="green"/>
        </w:rPr>
        <w:t xml:space="preserve"> se desprende la siguiente información, poner el título en el centro:</w:t>
      </w:r>
    </w:p>
    <w:p w:rsidR="001E374A" w:rsidRDefault="001E374A"/>
    <w:p w:rsidR="001E374A" w:rsidRDefault="001E374A">
      <w:r w:rsidRPr="001E374A">
        <w:rPr>
          <w:highlight w:val="green"/>
        </w:rPr>
        <w:t>1</w:t>
      </w:r>
    </w:p>
    <w:p w:rsidR="00736FD6" w:rsidRDefault="00736FD6" w:rsidP="00736FD6">
      <w:pPr>
        <w:pStyle w:val="Prrafodelista"/>
        <w:numPr>
          <w:ilvl w:val="0"/>
          <w:numId w:val="1"/>
        </w:numPr>
      </w:pPr>
      <w:r w:rsidRPr="004E1374">
        <w:rPr>
          <w:b/>
        </w:rPr>
        <w:lastRenderedPageBreak/>
        <w:t>Activos o pasivos corrientes:</w:t>
      </w:r>
      <w:r>
        <w:t xml:space="preserve"> cuentan con fines de negociación con un ciclo definido normal de operación que está dentro de los 12 meses primeros desde la fecha en la que se informa.</w:t>
      </w:r>
    </w:p>
    <w:p w:rsidR="00736FD6" w:rsidRDefault="00736FD6" w:rsidP="00736FD6">
      <w:pPr>
        <w:pStyle w:val="Prrafodelista"/>
      </w:pPr>
      <w:r w:rsidRPr="00FD7DD8">
        <w:rPr>
          <w:bCs/>
        </w:rPr>
        <w:t>Entre ellos se encuentran:</w:t>
      </w:r>
      <w:r>
        <w:t xml:space="preserve"> inventarios, materias primas, deudores comerciales, cuentas comerciales por pagar, pasivos financieros, dividendos pagaderos, entre otros.</w:t>
      </w:r>
    </w:p>
    <w:p w:rsidR="001E374A" w:rsidRDefault="001E374A" w:rsidP="001E374A"/>
    <w:p w:rsidR="001E374A" w:rsidRDefault="001E374A" w:rsidP="001E374A">
      <w:r w:rsidRPr="001E374A">
        <w:rPr>
          <w:highlight w:val="green"/>
        </w:rPr>
        <w:t>2</w:t>
      </w:r>
    </w:p>
    <w:p w:rsidR="001E374A" w:rsidRDefault="001E374A" w:rsidP="00736FD6">
      <w:pPr>
        <w:pStyle w:val="Prrafodelista"/>
      </w:pPr>
    </w:p>
    <w:p w:rsidR="00736FD6" w:rsidRDefault="00736FD6" w:rsidP="00736FD6">
      <w:pPr>
        <w:pStyle w:val="Prrafodelista"/>
        <w:numPr>
          <w:ilvl w:val="0"/>
          <w:numId w:val="1"/>
        </w:numPr>
      </w:pPr>
      <w:r>
        <w:rPr>
          <w:b/>
        </w:rPr>
        <w:t xml:space="preserve">Activos o pasivos no corrientes: </w:t>
      </w:r>
      <w:r>
        <w:t>No tienen definido el ciclo de operación y no están incluidos dentro de pasivos o activos corrientes.</w:t>
      </w:r>
    </w:p>
    <w:p w:rsidR="00736FD6" w:rsidRDefault="00736FD6" w:rsidP="00736FD6">
      <w:pPr>
        <w:pStyle w:val="Prrafodelista"/>
      </w:pPr>
      <w:r w:rsidRPr="00FD7DD8">
        <w:rPr>
          <w:bCs/>
        </w:rPr>
        <w:t>Entre ellos se encuentran:</w:t>
      </w:r>
      <w:r>
        <w:t xml:space="preserve"> propiedad planta y equipo, cargos diferidos, depreciación acumulada, obligaciones financieras no corrientes, dividendos por pagar.</w:t>
      </w:r>
    </w:p>
    <w:p w:rsidR="00736FD6" w:rsidRDefault="00736FD6" w:rsidP="00736FD6">
      <w:pPr>
        <w:pStyle w:val="Prrafodelista"/>
      </w:pPr>
    </w:p>
    <w:p w:rsidR="00736FD6" w:rsidRDefault="00736FD6"/>
    <w:sectPr w:rsidR="00736F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9B3FC4"/>
    <w:multiLevelType w:val="hybridMultilevel"/>
    <w:tmpl w:val="E79CE4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FD6"/>
    <w:rsid w:val="001C2E2D"/>
    <w:rsid w:val="001E374A"/>
    <w:rsid w:val="00634D8A"/>
    <w:rsid w:val="00736FD6"/>
    <w:rsid w:val="00871B5A"/>
    <w:rsid w:val="00DC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E3673"/>
  <w15:chartTrackingRefBased/>
  <w15:docId w15:val="{86110916-1BCC-4546-8390-F1F6FA5AE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6FD6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es-CO"/>
    </w:rPr>
  </w:style>
  <w:style w:type="character" w:styleId="Hipervnculo">
    <w:name w:val="Hyperlink"/>
    <w:basedOn w:val="Fuentedeprrafopredeter"/>
    <w:uiPriority w:val="99"/>
    <w:unhideWhenUsed/>
    <w:rsid w:val="001E374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71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ettyimages.es/detail/ilustraci%C3%B3n/businessmen-up-and-down-business-ilustraciones-libres-de-derechos/165728966?adppopup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Romero</dc:creator>
  <cp:keywords/>
  <dc:description/>
  <cp:lastModifiedBy>Lorena Romero</cp:lastModifiedBy>
  <cp:revision>2</cp:revision>
  <dcterms:created xsi:type="dcterms:W3CDTF">2020-08-17T21:59:00Z</dcterms:created>
  <dcterms:modified xsi:type="dcterms:W3CDTF">2020-10-19T20:39:00Z</dcterms:modified>
</cp:coreProperties>
</file>