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8055042" w14:textId="77777777" w:rsidR="00E31963" w:rsidRPr="00C64C96" w:rsidRDefault="00E31963"/>
    <w:p w14:paraId="3F45EEAA" w14:textId="77777777" w:rsidR="002B5B15" w:rsidRPr="00C64C96" w:rsidRDefault="002B5B15" w:rsidP="00C95173">
      <w:pPr>
        <w:jc w:val="center"/>
        <w:rPr>
          <w:rFonts w:eastAsia="Arial"/>
          <w:b/>
          <w:color w:val="222222"/>
          <w:highlight w:val="white"/>
        </w:rPr>
      </w:pPr>
    </w:p>
    <w:p w14:paraId="0916C339" w14:textId="3F7B47A6" w:rsidR="002B5B15" w:rsidRPr="00C64C96" w:rsidRDefault="006C52B4" w:rsidP="002B5B15">
      <w:pPr>
        <w:jc w:val="center"/>
        <w:rPr>
          <w:rFonts w:eastAsia="Arial"/>
          <w:b/>
          <w:color w:val="222222"/>
        </w:rPr>
      </w:pPr>
      <w:r w:rsidRPr="00C64C96">
        <w:rPr>
          <w:rFonts w:eastAsia="Arial"/>
          <w:b/>
          <w:color w:val="222222"/>
          <w:highlight w:val="white"/>
        </w:rPr>
        <w:t xml:space="preserve">Formato de </w:t>
      </w:r>
      <w:r w:rsidR="006856D0" w:rsidRPr="00C64C96">
        <w:rPr>
          <w:rFonts w:eastAsia="Arial"/>
          <w:b/>
          <w:color w:val="222222"/>
          <w:highlight w:val="white"/>
        </w:rPr>
        <w:t>guion</w:t>
      </w:r>
      <w:r w:rsidRPr="00C64C96">
        <w:rPr>
          <w:rFonts w:eastAsia="Arial"/>
          <w:b/>
          <w:color w:val="222222"/>
          <w:highlight w:val="white"/>
        </w:rPr>
        <w:t xml:space="preserve"> para interactividad</w:t>
      </w:r>
    </w:p>
    <w:p w14:paraId="0798F4F5" w14:textId="77777777" w:rsidR="002B5B15" w:rsidRPr="00C64C96" w:rsidRDefault="002B5B15" w:rsidP="002B5B15">
      <w:pPr>
        <w:jc w:val="center"/>
        <w:rPr>
          <w:rFonts w:eastAsia="Arial"/>
          <w:b/>
          <w:color w:val="222222"/>
        </w:rPr>
      </w:pPr>
    </w:p>
    <w:p w14:paraId="2428CF33" w14:textId="77777777" w:rsidR="00E668FA" w:rsidRPr="00C64C96" w:rsidRDefault="00E668FA" w:rsidP="00E668FA"/>
    <w:tbl>
      <w:tblPr>
        <w:tblW w:w="13461" w:type="dxa"/>
        <w:tblInd w:w="-34" w:type="dxa"/>
        <w:tblLayout w:type="fixed"/>
        <w:tblLook w:val="0000" w:firstRow="0" w:lastRow="0" w:firstColumn="0" w:lastColumn="0" w:noHBand="0" w:noVBand="0"/>
      </w:tblPr>
      <w:tblGrid>
        <w:gridCol w:w="1129"/>
        <w:gridCol w:w="3685"/>
        <w:gridCol w:w="1276"/>
        <w:gridCol w:w="7371"/>
      </w:tblGrid>
      <w:tr w:rsidR="00CC366C" w:rsidRPr="00C64C96" w14:paraId="65EF7318" w14:textId="77777777" w:rsidTr="00CC366C">
        <w:tc>
          <w:tcPr>
            <w:tcW w:w="1129" w:type="dxa"/>
            <w:tcBorders>
              <w:top w:val="single" w:sz="4" w:space="0" w:color="000000"/>
              <w:left w:val="single" w:sz="4" w:space="0" w:color="000000"/>
              <w:bottom w:val="single" w:sz="4" w:space="0" w:color="000000"/>
            </w:tcBorders>
            <w:vAlign w:val="center"/>
          </w:tcPr>
          <w:p w14:paraId="4CA18E99" w14:textId="063DF7B2" w:rsidR="00E668FA" w:rsidRPr="00C64C96" w:rsidRDefault="006C52B4" w:rsidP="00E668FA">
            <w:pPr>
              <w:snapToGrid w:val="0"/>
              <w:spacing w:before="60" w:after="60"/>
              <w:rPr>
                <w:b/>
              </w:rPr>
            </w:pPr>
            <w:r w:rsidRPr="00C64C96">
              <w:rPr>
                <w:b/>
                <w:color w:val="auto"/>
              </w:rPr>
              <w:t>Fecha:</w:t>
            </w:r>
          </w:p>
        </w:tc>
        <w:tc>
          <w:tcPr>
            <w:tcW w:w="3685" w:type="dxa"/>
            <w:tcBorders>
              <w:top w:val="single" w:sz="4" w:space="0" w:color="000000"/>
              <w:left w:val="single" w:sz="4" w:space="0" w:color="000000"/>
              <w:bottom w:val="single" w:sz="4" w:space="0" w:color="000000"/>
              <w:right w:val="single" w:sz="4" w:space="0" w:color="000000"/>
            </w:tcBorders>
            <w:vAlign w:val="center"/>
          </w:tcPr>
          <w:p w14:paraId="6CE870D3" w14:textId="31325EBD" w:rsidR="00E668FA" w:rsidRPr="00C64C96" w:rsidRDefault="00882C47" w:rsidP="00B54F74">
            <w:pPr>
              <w:snapToGrid w:val="0"/>
              <w:spacing w:before="60" w:after="60"/>
            </w:pPr>
            <w:r w:rsidRPr="00C64C96">
              <w:t>NOVIEMBRE DE 2019</w:t>
            </w:r>
          </w:p>
        </w:tc>
        <w:tc>
          <w:tcPr>
            <w:tcW w:w="1276" w:type="dxa"/>
            <w:tcBorders>
              <w:top w:val="single" w:sz="4" w:space="0" w:color="000000"/>
              <w:left w:val="single" w:sz="4" w:space="0" w:color="000000"/>
              <w:bottom w:val="single" w:sz="4" w:space="0" w:color="000000"/>
              <w:right w:val="single" w:sz="4" w:space="0" w:color="000000"/>
            </w:tcBorders>
            <w:vAlign w:val="center"/>
          </w:tcPr>
          <w:p w14:paraId="2C3D486A" w14:textId="3F2F0AEC" w:rsidR="00E668FA" w:rsidRPr="00C64C96" w:rsidRDefault="006C52B4" w:rsidP="00B54F74">
            <w:pPr>
              <w:snapToGrid w:val="0"/>
              <w:spacing w:before="60" w:after="60"/>
              <w:rPr>
                <w:b/>
              </w:rPr>
            </w:pPr>
            <w:r w:rsidRPr="00C64C96">
              <w:rPr>
                <w:b/>
              </w:rPr>
              <w:t>Docente:</w:t>
            </w:r>
          </w:p>
        </w:tc>
        <w:tc>
          <w:tcPr>
            <w:tcW w:w="7371" w:type="dxa"/>
            <w:tcBorders>
              <w:top w:val="single" w:sz="4" w:space="0" w:color="000000"/>
              <w:left w:val="single" w:sz="4" w:space="0" w:color="000000"/>
              <w:bottom w:val="single" w:sz="4" w:space="0" w:color="000000"/>
              <w:right w:val="single" w:sz="4" w:space="0" w:color="000000"/>
            </w:tcBorders>
            <w:vAlign w:val="center"/>
          </w:tcPr>
          <w:p w14:paraId="460FC46D" w14:textId="54F550AF" w:rsidR="00E668FA" w:rsidRPr="00C64C96" w:rsidRDefault="005349CD" w:rsidP="00B54F74">
            <w:pPr>
              <w:snapToGrid w:val="0"/>
              <w:spacing w:before="60" w:after="60"/>
            </w:pPr>
            <w:r w:rsidRPr="00C64C96">
              <w:t>CLAUDIA YANET CUERVO ARIAS</w:t>
            </w:r>
          </w:p>
        </w:tc>
      </w:tr>
    </w:tbl>
    <w:p w14:paraId="2E1F5655" w14:textId="77777777" w:rsidR="00E668FA" w:rsidRPr="00C64C96" w:rsidRDefault="00E668FA" w:rsidP="00E668FA">
      <w:pPr>
        <w:jc w:val="both"/>
      </w:pPr>
    </w:p>
    <w:tbl>
      <w:tblPr>
        <w:tblW w:w="13461" w:type="dxa"/>
        <w:tblInd w:w="-72" w:type="dxa"/>
        <w:tblLayout w:type="fixed"/>
        <w:tblCellMar>
          <w:left w:w="70" w:type="dxa"/>
          <w:right w:w="70" w:type="dxa"/>
        </w:tblCellMar>
        <w:tblLook w:val="0000" w:firstRow="0" w:lastRow="0" w:firstColumn="0" w:lastColumn="0" w:noHBand="0" w:noVBand="0"/>
      </w:tblPr>
      <w:tblGrid>
        <w:gridCol w:w="1979"/>
        <w:gridCol w:w="4394"/>
        <w:gridCol w:w="2552"/>
        <w:gridCol w:w="4536"/>
      </w:tblGrid>
      <w:tr w:rsidR="00CC366C" w:rsidRPr="00C64C96" w14:paraId="099216C4" w14:textId="77777777" w:rsidTr="002B5B15">
        <w:tc>
          <w:tcPr>
            <w:tcW w:w="1979" w:type="dxa"/>
            <w:tcBorders>
              <w:top w:val="single" w:sz="4" w:space="0" w:color="000000"/>
              <w:left w:val="single" w:sz="4" w:space="0" w:color="000000"/>
              <w:bottom w:val="single" w:sz="4" w:space="0" w:color="000000"/>
            </w:tcBorders>
            <w:vAlign w:val="center"/>
          </w:tcPr>
          <w:p w14:paraId="033FC2F7" w14:textId="30856B6D" w:rsidR="00E668FA" w:rsidRPr="00C64C96" w:rsidRDefault="006C52B4" w:rsidP="00B54F74">
            <w:pPr>
              <w:snapToGrid w:val="0"/>
              <w:spacing w:before="60" w:after="60"/>
              <w:rPr>
                <w:b/>
              </w:rPr>
            </w:pPr>
            <w:r w:rsidRPr="00C64C96">
              <w:rPr>
                <w:b/>
              </w:rPr>
              <w:t>Programa:</w:t>
            </w:r>
          </w:p>
        </w:tc>
        <w:tc>
          <w:tcPr>
            <w:tcW w:w="4394" w:type="dxa"/>
            <w:tcBorders>
              <w:top w:val="single" w:sz="4" w:space="0" w:color="000000"/>
              <w:left w:val="single" w:sz="4" w:space="0" w:color="000000"/>
              <w:bottom w:val="single" w:sz="4" w:space="0" w:color="000000"/>
            </w:tcBorders>
            <w:vAlign w:val="center"/>
          </w:tcPr>
          <w:p w14:paraId="4027272B" w14:textId="6974A787" w:rsidR="00E668FA" w:rsidRPr="00C64C96" w:rsidRDefault="005349CD" w:rsidP="00B54F74">
            <w:pPr>
              <w:snapToGrid w:val="0"/>
              <w:spacing w:before="60" w:after="60"/>
            </w:pPr>
            <w:r w:rsidRPr="00C64C96">
              <w:t>CONTADURÍA PÚBLICA A DISTANCIA</w:t>
            </w:r>
          </w:p>
        </w:tc>
        <w:tc>
          <w:tcPr>
            <w:tcW w:w="2552" w:type="dxa"/>
            <w:tcBorders>
              <w:top w:val="single" w:sz="4" w:space="0" w:color="000000"/>
              <w:left w:val="single" w:sz="4" w:space="0" w:color="000000"/>
              <w:bottom w:val="single" w:sz="4" w:space="0" w:color="000000"/>
            </w:tcBorders>
            <w:vAlign w:val="center"/>
          </w:tcPr>
          <w:p w14:paraId="39166142" w14:textId="139630FC" w:rsidR="00E668FA" w:rsidRPr="00C64C96" w:rsidRDefault="006C52B4" w:rsidP="00B54F74">
            <w:pPr>
              <w:snapToGrid w:val="0"/>
              <w:spacing w:before="60" w:after="60"/>
            </w:pPr>
            <w:r w:rsidRPr="00C64C96">
              <w:rPr>
                <w:b/>
              </w:rPr>
              <w:t>Materia:</w:t>
            </w:r>
          </w:p>
        </w:tc>
        <w:tc>
          <w:tcPr>
            <w:tcW w:w="4536" w:type="dxa"/>
            <w:tcBorders>
              <w:top w:val="single" w:sz="4" w:space="0" w:color="000000"/>
              <w:left w:val="single" w:sz="4" w:space="0" w:color="000000"/>
              <w:bottom w:val="single" w:sz="4" w:space="0" w:color="000000"/>
              <w:right w:val="single" w:sz="4" w:space="0" w:color="000000"/>
            </w:tcBorders>
            <w:vAlign w:val="center"/>
          </w:tcPr>
          <w:p w14:paraId="2A9DFA25" w14:textId="5108379D" w:rsidR="00E668FA" w:rsidRPr="00C64C96" w:rsidRDefault="00A85668" w:rsidP="00B54F74">
            <w:pPr>
              <w:snapToGrid w:val="0"/>
              <w:spacing w:before="60" w:after="60"/>
            </w:pPr>
            <w:r w:rsidRPr="00C64C96">
              <w:t>AUDITORÍA FINANCIERA</w:t>
            </w:r>
          </w:p>
        </w:tc>
      </w:tr>
      <w:tr w:rsidR="005349CD" w:rsidRPr="00C64C96" w14:paraId="5FF1EB03" w14:textId="77777777" w:rsidTr="002B5B15">
        <w:trPr>
          <w:trHeight w:val="619"/>
        </w:trPr>
        <w:tc>
          <w:tcPr>
            <w:tcW w:w="1979" w:type="dxa"/>
            <w:tcBorders>
              <w:top w:val="single" w:sz="4" w:space="0" w:color="000000"/>
              <w:left w:val="single" w:sz="4" w:space="0" w:color="000000"/>
              <w:bottom w:val="single" w:sz="4" w:space="0" w:color="000000"/>
            </w:tcBorders>
            <w:vAlign w:val="center"/>
          </w:tcPr>
          <w:p w14:paraId="33CBFF06" w14:textId="1C549D05" w:rsidR="005349CD" w:rsidRPr="00C64C96" w:rsidRDefault="005349CD" w:rsidP="00B54F74">
            <w:pPr>
              <w:snapToGrid w:val="0"/>
              <w:spacing w:before="60" w:after="60"/>
              <w:rPr>
                <w:b/>
              </w:rPr>
            </w:pPr>
            <w:r w:rsidRPr="00C64C96">
              <w:rPr>
                <w:b/>
              </w:rPr>
              <w:t>Tema:</w:t>
            </w:r>
          </w:p>
        </w:tc>
        <w:tc>
          <w:tcPr>
            <w:tcW w:w="4394" w:type="dxa"/>
            <w:tcBorders>
              <w:left w:val="single" w:sz="4" w:space="0" w:color="000000"/>
              <w:bottom w:val="single" w:sz="4" w:space="0" w:color="000000"/>
              <w:right w:val="single" w:sz="4" w:space="0" w:color="000000"/>
            </w:tcBorders>
            <w:vAlign w:val="center"/>
          </w:tcPr>
          <w:p w14:paraId="34036618" w14:textId="33F60A8C" w:rsidR="005349CD" w:rsidRPr="00C64C96" w:rsidRDefault="006025F7" w:rsidP="008573E7">
            <w:pPr>
              <w:snapToGrid w:val="0"/>
              <w:spacing w:before="60" w:after="60"/>
            </w:pPr>
            <w:r w:rsidRPr="00C64C96">
              <w:t xml:space="preserve">Movilizado material – </w:t>
            </w:r>
            <w:r w:rsidR="00C64C96">
              <w:t>n</w:t>
            </w:r>
            <w:r w:rsidRPr="00C64C96">
              <w:t>ormas y principios Contables</w:t>
            </w:r>
          </w:p>
        </w:tc>
        <w:tc>
          <w:tcPr>
            <w:tcW w:w="2552" w:type="dxa"/>
            <w:tcBorders>
              <w:left w:val="single" w:sz="4" w:space="0" w:color="000000"/>
              <w:bottom w:val="single" w:sz="4" w:space="0" w:color="000000"/>
              <w:right w:val="single" w:sz="4" w:space="0" w:color="000000"/>
            </w:tcBorders>
            <w:vAlign w:val="center"/>
          </w:tcPr>
          <w:p w14:paraId="01706331" w14:textId="443FEACD" w:rsidR="005349CD" w:rsidRPr="00C64C96" w:rsidRDefault="005349CD" w:rsidP="00B54F74">
            <w:pPr>
              <w:snapToGrid w:val="0"/>
              <w:spacing w:before="60" w:after="60"/>
            </w:pPr>
            <w:r w:rsidRPr="00C64C96">
              <w:rPr>
                <w:b/>
              </w:rPr>
              <w:t>Tipo de interactividad ubicados en el manual de autor página 7.5:</w:t>
            </w:r>
          </w:p>
        </w:tc>
        <w:tc>
          <w:tcPr>
            <w:tcW w:w="4536" w:type="dxa"/>
            <w:tcBorders>
              <w:left w:val="single" w:sz="4" w:space="0" w:color="000000"/>
              <w:bottom w:val="single" w:sz="4" w:space="0" w:color="000000"/>
              <w:right w:val="single" w:sz="4" w:space="0" w:color="000000"/>
            </w:tcBorders>
            <w:vAlign w:val="center"/>
          </w:tcPr>
          <w:p w14:paraId="4F99F251" w14:textId="5A51F820" w:rsidR="005349CD" w:rsidRPr="00C64C96" w:rsidRDefault="00C13ABB" w:rsidP="008573E7">
            <w:pPr>
              <w:snapToGrid w:val="0"/>
              <w:rPr>
                <w:i/>
              </w:rPr>
            </w:pPr>
            <w:hyperlink r:id="rId8" w:history="1"/>
          </w:p>
        </w:tc>
      </w:tr>
    </w:tbl>
    <w:p w14:paraId="3FF0C0B4" w14:textId="77777777" w:rsidR="004D00B1" w:rsidRPr="00C64C96" w:rsidRDefault="004D00B1" w:rsidP="00C95173">
      <w:pPr>
        <w:jc w:val="center"/>
      </w:pPr>
    </w:p>
    <w:tbl>
      <w:tblPr>
        <w:tblW w:w="134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1"/>
      </w:tblGrid>
      <w:tr w:rsidR="00D76471" w:rsidRPr="00C64C96" w14:paraId="11EDA065" w14:textId="77777777" w:rsidTr="00CC366C">
        <w:trPr>
          <w:trHeight w:val="437"/>
        </w:trPr>
        <w:tc>
          <w:tcPr>
            <w:tcW w:w="13461" w:type="dxa"/>
            <w:shd w:val="clear" w:color="auto" w:fill="E0E0E0"/>
            <w:vAlign w:val="center"/>
          </w:tcPr>
          <w:p w14:paraId="40EC4EB4" w14:textId="123BDE77" w:rsidR="00D76471" w:rsidRPr="00C64C96" w:rsidRDefault="006C52B4" w:rsidP="006C52B4">
            <w:pPr>
              <w:jc w:val="center"/>
              <w:rPr>
                <w:color w:val="auto"/>
              </w:rPr>
            </w:pPr>
            <w:r w:rsidRPr="00C64C96">
              <w:rPr>
                <w:rFonts w:eastAsia="Arial"/>
                <w:b/>
              </w:rPr>
              <w:t>Describa la idea principal de la interactividad</w:t>
            </w:r>
          </w:p>
        </w:tc>
      </w:tr>
      <w:tr w:rsidR="00CC366C" w:rsidRPr="00C64C96" w14:paraId="31DEB2C3" w14:textId="77777777" w:rsidTr="00CC366C">
        <w:trPr>
          <w:trHeight w:val="315"/>
        </w:trPr>
        <w:tc>
          <w:tcPr>
            <w:tcW w:w="13461" w:type="dxa"/>
            <w:vAlign w:val="center"/>
          </w:tcPr>
          <w:p w14:paraId="0650AE24" w14:textId="77777777" w:rsidR="00CC366C" w:rsidRPr="00C64C96" w:rsidRDefault="00CC366C" w:rsidP="00B54F74">
            <w:pPr>
              <w:snapToGrid w:val="0"/>
              <w:rPr>
                <w:b/>
                <w:color w:val="auto"/>
              </w:rPr>
            </w:pPr>
          </w:p>
          <w:p w14:paraId="115C90D7" w14:textId="1AE4701B" w:rsidR="00CC366C" w:rsidRPr="00C64C96" w:rsidRDefault="00690814" w:rsidP="00B54F74">
            <w:pPr>
              <w:snapToGrid w:val="0"/>
              <w:rPr>
                <w:b/>
                <w:color w:val="auto"/>
              </w:rPr>
            </w:pPr>
            <w:r w:rsidRPr="00C64C96">
              <w:rPr>
                <w:color w:val="auto"/>
              </w:rPr>
              <w:t xml:space="preserve">Se hará una </w:t>
            </w:r>
            <w:r w:rsidR="00C64C96" w:rsidRPr="00C64C96">
              <w:rPr>
                <w:color w:val="auto"/>
              </w:rPr>
              <w:t>explicación de</w:t>
            </w:r>
            <w:r w:rsidRPr="00C64C96">
              <w:rPr>
                <w:color w:val="auto"/>
              </w:rPr>
              <w:t xml:space="preserve"> </w:t>
            </w:r>
            <w:r w:rsidR="00866408">
              <w:rPr>
                <w:color w:val="auto"/>
              </w:rPr>
              <w:t>m</w:t>
            </w:r>
            <w:r w:rsidR="006025F7" w:rsidRPr="00C64C96">
              <w:rPr>
                <w:color w:val="auto"/>
              </w:rPr>
              <w:t xml:space="preserve">ovilizado material – </w:t>
            </w:r>
            <w:r w:rsidR="00C64C96" w:rsidRPr="00C64C96">
              <w:rPr>
                <w:color w:val="auto"/>
              </w:rPr>
              <w:t>n</w:t>
            </w:r>
            <w:r w:rsidR="006025F7" w:rsidRPr="00C64C96">
              <w:rPr>
                <w:color w:val="auto"/>
              </w:rPr>
              <w:t xml:space="preserve">ormas y principios </w:t>
            </w:r>
            <w:r w:rsidR="00C64C96" w:rsidRPr="00C64C96">
              <w:rPr>
                <w:color w:val="auto"/>
              </w:rPr>
              <w:t>c</w:t>
            </w:r>
            <w:r w:rsidR="006025F7" w:rsidRPr="00C64C96">
              <w:rPr>
                <w:color w:val="auto"/>
              </w:rPr>
              <w:t>ontables</w:t>
            </w:r>
          </w:p>
          <w:p w14:paraId="7AD16854" w14:textId="24C7212E" w:rsidR="00CC366C" w:rsidRPr="00C64C96" w:rsidRDefault="00CC366C" w:rsidP="00B54F74">
            <w:pPr>
              <w:snapToGrid w:val="0"/>
              <w:rPr>
                <w:b/>
                <w:color w:val="auto"/>
              </w:rPr>
            </w:pPr>
          </w:p>
        </w:tc>
      </w:tr>
      <w:tr w:rsidR="00D76471" w:rsidRPr="00C64C96" w14:paraId="0511DC9E" w14:textId="77777777" w:rsidTr="00CC366C">
        <w:trPr>
          <w:trHeight w:val="479"/>
        </w:trPr>
        <w:tc>
          <w:tcPr>
            <w:tcW w:w="13461" w:type="dxa"/>
            <w:shd w:val="clear" w:color="auto" w:fill="E0E0E0"/>
            <w:vAlign w:val="center"/>
          </w:tcPr>
          <w:p w14:paraId="50BD6D74" w14:textId="5C0F6DC1" w:rsidR="00D76471" w:rsidRPr="00C64C96" w:rsidRDefault="006C52B4" w:rsidP="006C52B4">
            <w:pPr>
              <w:jc w:val="center"/>
              <w:rPr>
                <w:color w:val="auto"/>
              </w:rPr>
            </w:pPr>
            <w:r w:rsidRPr="00C64C96">
              <w:rPr>
                <w:rFonts w:eastAsia="Arial"/>
                <w:b/>
                <w:color w:val="auto"/>
              </w:rPr>
              <w:t>Describa el propósito de aprendizaje de la interactividad</w:t>
            </w:r>
          </w:p>
        </w:tc>
      </w:tr>
      <w:tr w:rsidR="00CC366C" w:rsidRPr="00C64C96" w14:paraId="0495984E" w14:textId="77777777" w:rsidTr="002B5B15">
        <w:trPr>
          <w:trHeight w:val="1304"/>
        </w:trPr>
        <w:tc>
          <w:tcPr>
            <w:tcW w:w="13461" w:type="dxa"/>
            <w:shd w:val="clear" w:color="auto" w:fill="auto"/>
            <w:vAlign w:val="center"/>
          </w:tcPr>
          <w:p w14:paraId="7A00ADA4" w14:textId="77777777" w:rsidR="00CC366C" w:rsidRPr="00C64C96" w:rsidRDefault="00CC366C" w:rsidP="00BD4F2F">
            <w:pPr>
              <w:rPr>
                <w:color w:val="auto"/>
              </w:rPr>
            </w:pPr>
          </w:p>
          <w:p w14:paraId="5DD9B8DB" w14:textId="7A184764" w:rsidR="00CC366C" w:rsidRPr="00C64C96" w:rsidRDefault="00882C47" w:rsidP="00DE370C">
            <w:pPr>
              <w:rPr>
                <w:rFonts w:eastAsia="Arial"/>
                <w:b/>
                <w:color w:val="auto"/>
              </w:rPr>
            </w:pPr>
            <w:r w:rsidRPr="00C64C96">
              <w:rPr>
                <w:color w:val="auto"/>
              </w:rPr>
              <w:t>Conoce</w:t>
            </w:r>
            <w:r w:rsidR="00EC3319" w:rsidRPr="00C64C96">
              <w:rPr>
                <w:color w:val="auto"/>
              </w:rPr>
              <w:t>r</w:t>
            </w:r>
            <w:r w:rsidR="00C64C96" w:rsidRPr="00C64C96">
              <w:rPr>
                <w:color w:val="auto"/>
              </w:rPr>
              <w:t xml:space="preserve"> el movilizado</w:t>
            </w:r>
            <w:r w:rsidR="006025F7" w:rsidRPr="00C64C96">
              <w:rPr>
                <w:color w:val="auto"/>
              </w:rPr>
              <w:t xml:space="preserve"> material – </w:t>
            </w:r>
            <w:r w:rsidR="00C64C96" w:rsidRPr="00C64C96">
              <w:rPr>
                <w:color w:val="auto"/>
              </w:rPr>
              <w:t>n</w:t>
            </w:r>
            <w:r w:rsidR="006025F7" w:rsidRPr="00C64C96">
              <w:rPr>
                <w:color w:val="auto"/>
              </w:rPr>
              <w:t xml:space="preserve">ormas y principios </w:t>
            </w:r>
            <w:r w:rsidR="00C64C96" w:rsidRPr="00C64C96">
              <w:rPr>
                <w:color w:val="auto"/>
              </w:rPr>
              <w:t>c</w:t>
            </w:r>
            <w:r w:rsidR="006025F7" w:rsidRPr="00C64C96">
              <w:rPr>
                <w:color w:val="auto"/>
              </w:rPr>
              <w:t>ontables</w:t>
            </w:r>
          </w:p>
        </w:tc>
      </w:tr>
    </w:tbl>
    <w:p w14:paraId="29584E43" w14:textId="77777777" w:rsidR="00C24021" w:rsidRPr="00C64C96" w:rsidRDefault="00C24021" w:rsidP="00C24021">
      <w:pPr>
        <w:numPr>
          <w:ilvl w:val="12"/>
          <w:numId w:val="0"/>
        </w:numPr>
        <w:spacing w:line="480" w:lineRule="auto"/>
        <w:rPr>
          <w:lang w:val="es-ES"/>
        </w:rPr>
      </w:pPr>
    </w:p>
    <w:p w14:paraId="450A831E" w14:textId="77777777" w:rsidR="00DE370C" w:rsidRPr="00C64C96" w:rsidRDefault="00DE370C" w:rsidP="00C24021">
      <w:pPr>
        <w:numPr>
          <w:ilvl w:val="12"/>
          <w:numId w:val="0"/>
        </w:numPr>
        <w:spacing w:line="480" w:lineRule="auto"/>
        <w:rPr>
          <w:lang w:val="es-ES"/>
        </w:rPr>
      </w:pPr>
    </w:p>
    <w:p w14:paraId="4C263E25" w14:textId="77777777" w:rsidR="00882C47" w:rsidRPr="00C64C96" w:rsidRDefault="00882C47" w:rsidP="00C24021">
      <w:pPr>
        <w:numPr>
          <w:ilvl w:val="12"/>
          <w:numId w:val="0"/>
        </w:numPr>
        <w:spacing w:line="480" w:lineRule="auto"/>
        <w:rPr>
          <w:b/>
          <w:lang w:val="es-ES"/>
        </w:rPr>
      </w:pPr>
    </w:p>
    <w:p w14:paraId="7AF9F154" w14:textId="77777777" w:rsidR="00C64C96" w:rsidRPr="00C64C96" w:rsidRDefault="00C64C96" w:rsidP="006025F7">
      <w:pPr>
        <w:spacing w:line="360" w:lineRule="auto"/>
        <w:jc w:val="both"/>
        <w:rPr>
          <w:lang w:eastAsia="es-CO"/>
        </w:rPr>
      </w:pPr>
    </w:p>
    <w:p w14:paraId="22732C25" w14:textId="44C358FE" w:rsidR="00C64C96" w:rsidRPr="00C64C96" w:rsidRDefault="00C64C96" w:rsidP="006025F7">
      <w:pPr>
        <w:spacing w:line="360" w:lineRule="auto"/>
        <w:jc w:val="both"/>
        <w:rPr>
          <w:lang w:eastAsia="es-CO"/>
        </w:rPr>
      </w:pPr>
      <w:r w:rsidRPr="00C64C96">
        <w:rPr>
          <w:highlight w:val="green"/>
          <w:lang w:eastAsia="es-CO"/>
        </w:rPr>
        <w:t>Introducción:</w:t>
      </w:r>
      <w:r w:rsidRPr="00C64C96">
        <w:rPr>
          <w:lang w:eastAsia="es-CO"/>
        </w:rPr>
        <w:t xml:space="preserve"> </w:t>
      </w:r>
    </w:p>
    <w:p w14:paraId="0B43CE06" w14:textId="030D9BC8" w:rsidR="006025F7" w:rsidRPr="00C64C96" w:rsidRDefault="006025F7" w:rsidP="006025F7">
      <w:pPr>
        <w:spacing w:line="360" w:lineRule="auto"/>
        <w:jc w:val="both"/>
        <w:rPr>
          <w:lang w:eastAsia="es-CO"/>
        </w:rPr>
      </w:pPr>
      <w:r w:rsidRPr="00C64C96">
        <w:rPr>
          <w:lang w:eastAsia="es-CO"/>
        </w:rPr>
        <w:t>Algunas c</w:t>
      </w:r>
      <w:r w:rsidRPr="00C64C96">
        <w:t>onsideraciones a tener presentes NIIF Plenas y NIIF PYMES en el manejo de inventarios. L</w:t>
      </w:r>
      <w:r w:rsidRPr="00C64C96">
        <w:rPr>
          <w:lang w:eastAsia="es-CO"/>
        </w:rPr>
        <w:t xml:space="preserve">as técnicas de medición de costos serán utilizadas por conveniencia siempre que el resultado se aproxime al costo, cuando se logre la venta del inventario el importe realizado en libros se reconoce como gasto del periodo. En los estados financieros se debe revelar la medición de inventarios, el importe de gasto reconocido, reversión de rebajas y reclasificaciones. </w:t>
      </w:r>
    </w:p>
    <w:p w14:paraId="3C1DEF4B" w14:textId="6371ED75" w:rsidR="00C64C96" w:rsidRPr="00C64C96" w:rsidRDefault="00C64C96" w:rsidP="006025F7">
      <w:pPr>
        <w:spacing w:line="360" w:lineRule="auto"/>
        <w:jc w:val="both"/>
        <w:rPr>
          <w:lang w:eastAsia="es-CO"/>
        </w:rPr>
      </w:pPr>
    </w:p>
    <w:p w14:paraId="5D734CA1" w14:textId="2BC129E4" w:rsidR="00C64C96" w:rsidRDefault="00C64C96" w:rsidP="006025F7">
      <w:pPr>
        <w:spacing w:line="360" w:lineRule="auto"/>
        <w:jc w:val="both"/>
        <w:rPr>
          <w:lang w:eastAsia="es-CO"/>
        </w:rPr>
      </w:pPr>
      <w:r w:rsidRPr="00ED551D">
        <w:rPr>
          <w:highlight w:val="yellow"/>
          <w:lang w:eastAsia="es-CO"/>
        </w:rPr>
        <w:t>Esquema de referencia:</w:t>
      </w:r>
      <w:r w:rsidR="00ED551D" w:rsidRPr="00ED551D">
        <w:rPr>
          <w:highlight w:val="yellow"/>
          <w:lang w:eastAsia="es-CO"/>
        </w:rPr>
        <w:t xml:space="preserve"> 2 ítems- comparación con gráfico</w:t>
      </w:r>
      <w:r w:rsidR="00ED551D">
        <w:rPr>
          <w:lang w:eastAsia="es-CO"/>
        </w:rPr>
        <w:t xml:space="preserve"> </w:t>
      </w:r>
    </w:p>
    <w:p w14:paraId="2C70D883" w14:textId="33776201" w:rsidR="00ED551D" w:rsidRDefault="00ED551D" w:rsidP="006025F7">
      <w:pPr>
        <w:spacing w:line="360" w:lineRule="auto"/>
        <w:jc w:val="both"/>
        <w:rPr>
          <w:lang w:eastAsia="es-CO"/>
        </w:rPr>
      </w:pPr>
      <w:r>
        <w:rPr>
          <w:noProof/>
        </w:rPr>
        <w:drawing>
          <wp:inline distT="0" distB="0" distL="0" distR="0" wp14:anchorId="05F78A8C" wp14:editId="1DB97EBD">
            <wp:extent cx="4029075" cy="223804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47057" cy="2248033"/>
                    </a:xfrm>
                    <a:prstGeom prst="rect">
                      <a:avLst/>
                    </a:prstGeom>
                  </pic:spPr>
                </pic:pic>
              </a:graphicData>
            </a:graphic>
          </wp:inline>
        </w:drawing>
      </w:r>
    </w:p>
    <w:p w14:paraId="40D008EA" w14:textId="703FC89D" w:rsidR="00C64C96" w:rsidRDefault="00C64C96" w:rsidP="006025F7">
      <w:pPr>
        <w:spacing w:line="360" w:lineRule="auto"/>
        <w:jc w:val="both"/>
      </w:pPr>
    </w:p>
    <w:p w14:paraId="5A001277" w14:textId="41EEE55F" w:rsidR="00ED551D" w:rsidRDefault="00ED551D" w:rsidP="006025F7">
      <w:pPr>
        <w:spacing w:line="360" w:lineRule="auto"/>
        <w:jc w:val="both"/>
      </w:pPr>
      <w:r w:rsidRPr="00ED551D">
        <w:rPr>
          <w:highlight w:val="yellow"/>
        </w:rPr>
        <w:t>Remplazar las imágenes por dos personajes que parezcan auditores</w:t>
      </w:r>
      <w:r>
        <w:t>, ejemplo:</w:t>
      </w:r>
    </w:p>
    <w:p w14:paraId="597025BF" w14:textId="77777777" w:rsidR="00C64C96" w:rsidRDefault="00C64C96" w:rsidP="006025F7">
      <w:pPr>
        <w:spacing w:line="360" w:lineRule="auto"/>
        <w:jc w:val="both"/>
      </w:pPr>
    </w:p>
    <w:p w14:paraId="0656A5A0" w14:textId="39CFE11A" w:rsidR="00C64C96" w:rsidRDefault="00C64C96" w:rsidP="006025F7">
      <w:pPr>
        <w:spacing w:line="360" w:lineRule="auto"/>
        <w:jc w:val="both"/>
        <w:rPr>
          <w:lang w:eastAsia="es-CO"/>
        </w:rPr>
      </w:pPr>
      <w:r>
        <w:rPr>
          <w:noProof/>
        </w:rPr>
        <w:drawing>
          <wp:inline distT="0" distB="0" distL="0" distR="0" wp14:anchorId="4AF9E0B3" wp14:editId="26974809">
            <wp:extent cx="3990975" cy="2181225"/>
            <wp:effectExtent l="0" t="0" r="9525" b="9525"/>
            <wp:docPr id="2" name="Imagen 2" descr="Dos ideas de plantilla de gráfico de proceso para la presentación. vector grat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 ideas de plantilla de gráfico de proceso para la presentación. vector gratuito"/>
                    <pic:cNvPicPr>
                      <a:picLocks noChangeAspect="1" noChangeArrowheads="1"/>
                    </pic:cNvPicPr>
                  </pic:nvPicPr>
                  <pic:blipFill rotWithShape="1">
                    <a:blip r:embed="rId10">
                      <a:extLst>
                        <a:ext uri="{28A0092B-C50C-407E-A947-70E740481C1C}">
                          <a14:useLocalDpi xmlns:a14="http://schemas.microsoft.com/office/drawing/2010/main" val="0"/>
                        </a:ext>
                      </a:extLst>
                    </a:blip>
                    <a:srcRect l="1" t="1" r="1" b="30055"/>
                    <a:stretch/>
                  </pic:blipFill>
                  <pic:spPr bwMode="auto">
                    <a:xfrm>
                      <a:off x="0" y="0"/>
                      <a:ext cx="4009557" cy="2191381"/>
                    </a:xfrm>
                    <a:prstGeom prst="rect">
                      <a:avLst/>
                    </a:prstGeom>
                    <a:noFill/>
                    <a:ln>
                      <a:noFill/>
                    </a:ln>
                    <a:extLst>
                      <a:ext uri="{53640926-AAD7-44D8-BBD7-CCE9431645EC}">
                        <a14:shadowObscured xmlns:a14="http://schemas.microsoft.com/office/drawing/2010/main"/>
                      </a:ext>
                    </a:extLst>
                  </pic:spPr>
                </pic:pic>
              </a:graphicData>
            </a:graphic>
          </wp:inline>
        </w:drawing>
      </w:r>
    </w:p>
    <w:p w14:paraId="297CC6F3" w14:textId="77777777" w:rsidR="00ED551D" w:rsidRDefault="00ED551D" w:rsidP="00ED551D">
      <w:pPr>
        <w:spacing w:line="360" w:lineRule="auto"/>
        <w:jc w:val="both"/>
        <w:rPr>
          <w:b/>
        </w:rPr>
      </w:pPr>
      <w:r w:rsidRPr="00C64C96">
        <w:rPr>
          <w:b/>
          <w:highlight w:val="green"/>
        </w:rPr>
        <w:t>Instrucción para el estudiante:</w:t>
      </w:r>
      <w:r>
        <w:rPr>
          <w:b/>
        </w:rPr>
        <w:t xml:space="preserve"> </w:t>
      </w:r>
    </w:p>
    <w:p w14:paraId="32E93138" w14:textId="77777777" w:rsidR="00ED551D" w:rsidRPr="00C64C96" w:rsidRDefault="00ED551D" w:rsidP="00ED551D">
      <w:pPr>
        <w:spacing w:line="360" w:lineRule="auto"/>
        <w:jc w:val="both"/>
        <w:rPr>
          <w:b/>
        </w:rPr>
      </w:pPr>
      <w:r>
        <w:rPr>
          <w:b/>
        </w:rPr>
        <w:t xml:space="preserve"> Haga clic en cada personaje para acceder a más información</w:t>
      </w:r>
    </w:p>
    <w:p w14:paraId="76FB807A" w14:textId="77777777" w:rsidR="00ED551D" w:rsidRPr="00C64C96" w:rsidRDefault="00ED551D" w:rsidP="006025F7">
      <w:pPr>
        <w:spacing w:line="360" w:lineRule="auto"/>
        <w:jc w:val="both"/>
        <w:rPr>
          <w:lang w:eastAsia="es-CO"/>
        </w:rPr>
      </w:pPr>
      <w:bookmarkStart w:id="0" w:name="_GoBack"/>
      <w:bookmarkEnd w:id="0"/>
    </w:p>
    <w:p w14:paraId="7B17FD90" w14:textId="77777777" w:rsidR="00C64C96" w:rsidRDefault="00C64C96" w:rsidP="006025F7">
      <w:pPr>
        <w:spacing w:line="360" w:lineRule="auto"/>
        <w:jc w:val="both"/>
        <w:rPr>
          <w:b/>
        </w:rPr>
      </w:pPr>
      <w:r w:rsidRPr="00C64C96">
        <w:rPr>
          <w:b/>
          <w:highlight w:val="green"/>
        </w:rPr>
        <w:t>Personaje 1</w:t>
      </w:r>
      <w:r>
        <w:rPr>
          <w:b/>
        </w:rPr>
        <w:t xml:space="preserve"> </w:t>
      </w:r>
    </w:p>
    <w:p w14:paraId="33804C7F" w14:textId="6194AF40" w:rsidR="006025F7" w:rsidRPr="00C64C96" w:rsidRDefault="006025F7" w:rsidP="006025F7">
      <w:pPr>
        <w:spacing w:line="360" w:lineRule="auto"/>
        <w:jc w:val="both"/>
        <w:rPr>
          <w:b/>
        </w:rPr>
      </w:pPr>
      <w:r w:rsidRPr="00C64C96">
        <w:rPr>
          <w:b/>
        </w:rPr>
        <w:t xml:space="preserve">Pymes: </w:t>
      </w:r>
      <w:r w:rsidRPr="00C64C96">
        <w:t>Se deben establecer los métodos adecuados para la valoración de inventarios ya sea por método de promedio ponderado, el método primeras en entrar primeras en salir (</w:t>
      </w:r>
      <w:proofErr w:type="spellStart"/>
      <w:r w:rsidR="00C64C96" w:rsidRPr="00C64C96">
        <w:t>peps</w:t>
      </w:r>
      <w:proofErr w:type="spellEnd"/>
      <w:r w:rsidR="00C64C96" w:rsidRPr="00C64C96">
        <w:t>) o</w:t>
      </w:r>
      <w:r w:rsidRPr="00C64C96">
        <w:t xml:space="preserve"> el de identificación </w:t>
      </w:r>
      <w:r w:rsidR="00C64C96" w:rsidRPr="00C64C96">
        <w:t xml:space="preserve">específica, </w:t>
      </w:r>
      <w:r w:rsidR="00866408" w:rsidRPr="00C64C96">
        <w:t>de acuerdo con</w:t>
      </w:r>
      <w:r w:rsidRPr="00C64C96">
        <w:t xml:space="preserve"> la naturaleza de la empresa.</w:t>
      </w:r>
    </w:p>
    <w:p w14:paraId="5C03609A" w14:textId="77777777" w:rsidR="006025F7" w:rsidRPr="00C64C96" w:rsidRDefault="006025F7" w:rsidP="006025F7">
      <w:pPr>
        <w:spacing w:line="360" w:lineRule="auto"/>
        <w:jc w:val="both"/>
      </w:pPr>
      <w:r w:rsidRPr="00C64C96">
        <w:t>El costo de adquisición de inventario incluye el precio de compra, aranceles e impuestos, transporte, almacenamiento, manipulación, costos de cargue, descuentos comerciales, rebajas, no se debe tener en cuenta los intereses por el retraso en los pagos.</w:t>
      </w:r>
    </w:p>
    <w:p w14:paraId="089DE431" w14:textId="4238205E" w:rsidR="006025F7" w:rsidRPr="00C64C96" w:rsidRDefault="006025F7" w:rsidP="006025F7">
      <w:pPr>
        <w:spacing w:line="360" w:lineRule="auto"/>
        <w:jc w:val="both"/>
      </w:pPr>
      <w:r w:rsidRPr="00C64C96">
        <w:t xml:space="preserve">Los costos de transformación indican que la empresa continuará en la adquisición del inventario que tendrá un proceso de </w:t>
      </w:r>
      <w:r w:rsidR="00C64C96" w:rsidRPr="00C64C96">
        <w:t>trasformación, estos</w:t>
      </w:r>
      <w:r w:rsidRPr="00C64C96">
        <w:t xml:space="preserve"> costos será capitalizables como mayor valor del inventario. </w:t>
      </w:r>
      <w:sdt>
        <w:sdtPr>
          <w:id w:val="-1642414990"/>
          <w:citation/>
        </w:sdtPr>
        <w:sdtEndPr/>
        <w:sdtContent>
          <w:r w:rsidRPr="00C64C96">
            <w:fldChar w:fldCharType="begin"/>
          </w:r>
          <w:r w:rsidRPr="00C64C96">
            <w:instrText xml:space="preserve"> CITATION Var13 \l 9226 </w:instrText>
          </w:r>
          <w:r w:rsidRPr="00C64C96">
            <w:fldChar w:fldCharType="separate"/>
          </w:r>
          <w:r w:rsidRPr="00C64C96">
            <w:rPr>
              <w:noProof/>
            </w:rPr>
            <w:t>(Varon, 2013)</w:t>
          </w:r>
          <w:r w:rsidRPr="00C64C96">
            <w:fldChar w:fldCharType="end"/>
          </w:r>
        </w:sdtContent>
      </w:sdt>
    </w:p>
    <w:p w14:paraId="2C47E306" w14:textId="77777777" w:rsidR="006025F7" w:rsidRPr="00C64C96" w:rsidRDefault="006025F7" w:rsidP="006025F7">
      <w:pPr>
        <w:spacing w:line="360" w:lineRule="auto"/>
        <w:jc w:val="both"/>
      </w:pPr>
      <w:r w:rsidRPr="00C64C96">
        <w:lastRenderedPageBreak/>
        <w:t xml:space="preserve">Finalmente, se deberán incluir los otros costos determinados que son los que influyen directamente en la adquisición de inventarios. </w:t>
      </w:r>
    </w:p>
    <w:p w14:paraId="5CDD31FF" w14:textId="77777777" w:rsidR="006025F7" w:rsidRPr="00C64C96" w:rsidRDefault="006025F7" w:rsidP="006025F7">
      <w:pPr>
        <w:spacing w:line="360" w:lineRule="auto"/>
      </w:pPr>
      <w:r w:rsidRPr="00C64C96">
        <w:t xml:space="preserve">Esta norma específica que los inventarios son activos mantenidos para la venta en el curso normal de las operaciones del ente económico, o en forma de materiales para ser consumidos en el proceso de producción. </w:t>
      </w:r>
    </w:p>
    <w:p w14:paraId="2CD3F528" w14:textId="77777777" w:rsidR="006025F7" w:rsidRPr="00C64C96" w:rsidRDefault="006025F7" w:rsidP="006025F7">
      <w:pPr>
        <w:pStyle w:val="Prrafodelista"/>
        <w:numPr>
          <w:ilvl w:val="0"/>
          <w:numId w:val="10"/>
        </w:numPr>
        <w:spacing w:after="200" w:line="360" w:lineRule="auto"/>
        <w:jc w:val="left"/>
        <w:rPr>
          <w:rFonts w:ascii="Times New Roman" w:hAnsi="Times New Roman"/>
          <w:szCs w:val="24"/>
          <w:lang w:eastAsia="en-US"/>
        </w:rPr>
      </w:pPr>
      <w:r w:rsidRPr="00C64C96">
        <w:rPr>
          <w:rFonts w:ascii="Times New Roman" w:hAnsi="Times New Roman"/>
          <w:szCs w:val="24"/>
          <w:lang w:eastAsia="en-US"/>
        </w:rPr>
        <w:t>Un ente económico mide los inventarios según el importe que sea menor entre el costo y el precio de ventas que se ha estimado.</w:t>
      </w:r>
    </w:p>
    <w:p w14:paraId="5A70BA20" w14:textId="77777777" w:rsidR="006025F7" w:rsidRPr="00C64C96" w:rsidRDefault="006025F7" w:rsidP="006025F7">
      <w:pPr>
        <w:pStyle w:val="Prrafodelista"/>
        <w:numPr>
          <w:ilvl w:val="0"/>
          <w:numId w:val="10"/>
        </w:numPr>
        <w:spacing w:after="200" w:line="360" w:lineRule="auto"/>
        <w:jc w:val="left"/>
        <w:rPr>
          <w:rFonts w:ascii="Times New Roman" w:hAnsi="Times New Roman"/>
          <w:szCs w:val="24"/>
          <w:lang w:eastAsia="en-US"/>
        </w:rPr>
      </w:pPr>
      <w:r w:rsidRPr="00C64C96">
        <w:rPr>
          <w:rFonts w:ascii="Times New Roman" w:hAnsi="Times New Roman"/>
          <w:szCs w:val="24"/>
          <w:lang w:eastAsia="en-US"/>
        </w:rPr>
        <w:t>Se deben incluir cada uno de los costos de la compra</w:t>
      </w:r>
    </w:p>
    <w:p w14:paraId="31A1391D" w14:textId="77777777" w:rsidR="006025F7" w:rsidRPr="00C64C96" w:rsidRDefault="006025F7" w:rsidP="006025F7">
      <w:pPr>
        <w:pStyle w:val="Prrafodelista"/>
        <w:numPr>
          <w:ilvl w:val="0"/>
          <w:numId w:val="10"/>
        </w:numPr>
        <w:spacing w:after="200" w:line="360" w:lineRule="auto"/>
        <w:jc w:val="left"/>
        <w:rPr>
          <w:rFonts w:ascii="Times New Roman" w:hAnsi="Times New Roman"/>
          <w:szCs w:val="24"/>
          <w:lang w:eastAsia="en-US"/>
        </w:rPr>
      </w:pPr>
      <w:r w:rsidRPr="00C64C96">
        <w:rPr>
          <w:rFonts w:ascii="Times New Roman" w:hAnsi="Times New Roman"/>
          <w:szCs w:val="24"/>
          <w:lang w:eastAsia="en-US"/>
        </w:rPr>
        <w:t xml:space="preserve">La adquisición incluye el precio de compra, los aranceles y otros impuestos no recuperables.  </w:t>
      </w:r>
    </w:p>
    <w:p w14:paraId="00439E2C" w14:textId="604239DD" w:rsidR="00C64C96" w:rsidRPr="00C64C96" w:rsidRDefault="006025F7" w:rsidP="00C64C96">
      <w:pPr>
        <w:pStyle w:val="Prrafodelista"/>
        <w:numPr>
          <w:ilvl w:val="0"/>
          <w:numId w:val="10"/>
        </w:numPr>
        <w:spacing w:after="200" w:line="360" w:lineRule="auto"/>
        <w:jc w:val="left"/>
        <w:rPr>
          <w:rFonts w:ascii="Times New Roman" w:hAnsi="Times New Roman"/>
          <w:szCs w:val="24"/>
          <w:lang w:eastAsia="en-US"/>
        </w:rPr>
      </w:pPr>
      <w:r w:rsidRPr="00C64C96">
        <w:rPr>
          <w:rFonts w:ascii="Times New Roman" w:hAnsi="Times New Roman"/>
          <w:szCs w:val="24"/>
          <w:lang w:eastAsia="en-US"/>
        </w:rPr>
        <w:t xml:space="preserve">Los costos de transformación toman todos los costos de las unidades de producción incluyendo la mano de obra directa. </w:t>
      </w:r>
    </w:p>
    <w:p w14:paraId="520841A4" w14:textId="77777777" w:rsidR="00C64C96" w:rsidRDefault="00C64C96" w:rsidP="006025F7">
      <w:pPr>
        <w:spacing w:line="360" w:lineRule="auto"/>
        <w:jc w:val="both"/>
        <w:rPr>
          <w:b/>
        </w:rPr>
      </w:pPr>
    </w:p>
    <w:p w14:paraId="196F7AFE" w14:textId="51B7D1D3" w:rsidR="00C64C96" w:rsidRDefault="00C64C96" w:rsidP="00C64C96">
      <w:pPr>
        <w:spacing w:line="360" w:lineRule="auto"/>
        <w:jc w:val="both"/>
        <w:rPr>
          <w:b/>
        </w:rPr>
      </w:pPr>
      <w:r w:rsidRPr="00C64C96">
        <w:rPr>
          <w:b/>
          <w:highlight w:val="green"/>
        </w:rPr>
        <w:t xml:space="preserve">Personaje </w:t>
      </w:r>
      <w:r>
        <w:rPr>
          <w:b/>
        </w:rPr>
        <w:t xml:space="preserve">2 </w:t>
      </w:r>
    </w:p>
    <w:p w14:paraId="081E9CBC" w14:textId="77777777" w:rsidR="00C64C96" w:rsidRDefault="00C64C96" w:rsidP="006025F7">
      <w:pPr>
        <w:spacing w:line="360" w:lineRule="auto"/>
        <w:jc w:val="both"/>
        <w:rPr>
          <w:b/>
        </w:rPr>
      </w:pPr>
    </w:p>
    <w:p w14:paraId="5703891E" w14:textId="21CB1CDA" w:rsidR="006025F7" w:rsidRPr="00C64C96" w:rsidRDefault="006025F7" w:rsidP="006025F7">
      <w:pPr>
        <w:spacing w:line="360" w:lineRule="auto"/>
        <w:jc w:val="both"/>
        <w:rPr>
          <w:b/>
        </w:rPr>
      </w:pPr>
      <w:r w:rsidRPr="00C64C96">
        <w:rPr>
          <w:b/>
        </w:rPr>
        <w:t xml:space="preserve">Norma: NIC 2. </w:t>
      </w:r>
      <w:r w:rsidRPr="00C64C96">
        <w:t>Esta norma internacional financiera muestra el tratamiento contable que se le debe realizar a los inventarios y la cantidad de costo que debe reconocerse como activo, muestra como este rubro esta mantenido para la venta, en proceso de producción, determina el precio estimado de venta, el importe por el cual debe ser intercambiado o denominado valor razonable.</w:t>
      </w:r>
    </w:p>
    <w:p w14:paraId="3DB01E90" w14:textId="77777777" w:rsidR="006025F7" w:rsidRPr="00C64C96" w:rsidRDefault="006025F7" w:rsidP="006025F7">
      <w:pPr>
        <w:spacing w:line="360" w:lineRule="auto"/>
        <w:jc w:val="both"/>
      </w:pPr>
      <w:r w:rsidRPr="00C64C96">
        <w:t xml:space="preserve">El costo de adquisición de inventarios incluye el precio de compra, los aranceles y otros impuestos, los costos de transformación son aquellos relacionados directamente con las unidades producidas y otros costos incluyen las cantidades anormales de desperdicio, los costos de almacenamiento, los costos indirectos de administración. </w:t>
      </w:r>
      <w:sdt>
        <w:sdtPr>
          <w:id w:val="-1290045841"/>
          <w:citation/>
        </w:sdtPr>
        <w:sdtEndPr/>
        <w:sdtContent>
          <w:r w:rsidRPr="00C64C96">
            <w:fldChar w:fldCharType="begin"/>
          </w:r>
          <w:r w:rsidRPr="00C64C96">
            <w:instrText xml:space="preserve"> CITATION Var13 \l 9226 </w:instrText>
          </w:r>
          <w:r w:rsidRPr="00C64C96">
            <w:fldChar w:fldCharType="separate"/>
          </w:r>
          <w:r w:rsidRPr="00C64C96">
            <w:rPr>
              <w:noProof/>
            </w:rPr>
            <w:t>(Varon, 2013)</w:t>
          </w:r>
          <w:r w:rsidRPr="00C64C96">
            <w:fldChar w:fldCharType="end"/>
          </w:r>
        </w:sdtContent>
      </w:sdt>
    </w:p>
    <w:p w14:paraId="272CCAFA" w14:textId="4351759F" w:rsidR="00F25A6A" w:rsidRPr="00C64C96" w:rsidRDefault="00F25A6A" w:rsidP="006025F7">
      <w:pPr>
        <w:pStyle w:val="Piedepgina"/>
        <w:spacing w:line="276" w:lineRule="auto"/>
        <w:rPr>
          <w:lang w:val="es-ES"/>
        </w:rPr>
      </w:pPr>
    </w:p>
    <w:sectPr w:rsidR="00F25A6A" w:rsidRPr="00C64C96" w:rsidSect="002B5B15">
      <w:headerReference w:type="default" r:id="rId11"/>
      <w:footerReference w:type="default" r:id="rId12"/>
      <w:pgSz w:w="15840" w:h="12240"/>
      <w:pgMar w:top="0" w:right="1133" w:bottom="444" w:left="1133" w:header="0" w:footer="68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4DB29" w14:textId="77777777" w:rsidR="00C13ABB" w:rsidRDefault="00C13ABB">
      <w:r>
        <w:separator/>
      </w:r>
    </w:p>
  </w:endnote>
  <w:endnote w:type="continuationSeparator" w:id="0">
    <w:p w14:paraId="40CE89DA" w14:textId="77777777" w:rsidR="00C13ABB" w:rsidRDefault="00C13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65C27" w14:textId="77777777" w:rsidR="00E31963" w:rsidRPr="00EC14AA" w:rsidRDefault="00E31963">
    <w:pPr>
      <w:tabs>
        <w:tab w:val="center" w:pos="4419"/>
        <w:tab w:val="right" w:pos="8838"/>
      </w:tabs>
      <w:spacing w:after="907"/>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1779C" w14:textId="77777777" w:rsidR="00C13ABB" w:rsidRDefault="00C13ABB">
      <w:r>
        <w:separator/>
      </w:r>
    </w:p>
  </w:footnote>
  <w:footnote w:type="continuationSeparator" w:id="0">
    <w:p w14:paraId="58B6B832" w14:textId="77777777" w:rsidR="00C13ABB" w:rsidRDefault="00C13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B0B6B" w14:textId="5B80EEE8" w:rsidR="00E31963" w:rsidRDefault="002B5B15" w:rsidP="002B5B15">
    <w:pPr>
      <w:tabs>
        <w:tab w:val="center" w:pos="4419"/>
        <w:tab w:val="right" w:pos="8838"/>
      </w:tabs>
      <w:spacing w:before="720"/>
      <w:jc w:val="center"/>
    </w:pPr>
    <w:r>
      <w:rPr>
        <w:noProof/>
        <w:lang w:val="es-CO" w:eastAsia="es-CO"/>
      </w:rPr>
      <w:drawing>
        <wp:anchor distT="0" distB="0" distL="114300" distR="114300" simplePos="0" relativeHeight="251658240" behindDoc="0" locked="0" layoutInCell="0" hidden="0" allowOverlap="1" wp14:anchorId="1D214B1C" wp14:editId="5AE36191">
          <wp:simplePos x="0" y="0"/>
          <wp:positionH relativeFrom="margin">
            <wp:posOffset>-95885</wp:posOffset>
          </wp:positionH>
          <wp:positionV relativeFrom="paragraph">
            <wp:posOffset>332105</wp:posOffset>
          </wp:positionV>
          <wp:extent cx="558800" cy="568960"/>
          <wp:effectExtent l="0" t="0" r="0" b="0"/>
          <wp:wrapSquare wrapText="bothSides" distT="0" distB="0" distL="114300" distR="11430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
                  <a:srcRect/>
                  <a:stretch>
                    <a:fillRect/>
                  </a:stretch>
                </pic:blipFill>
                <pic:spPr>
                  <a:xfrm>
                    <a:off x="0" y="0"/>
                    <a:ext cx="558800" cy="568960"/>
                  </a:xfrm>
                  <a:prstGeom prst="rect">
                    <a:avLst/>
                  </a:prstGeom>
                  <a:ln/>
                </pic:spPr>
              </pic:pic>
            </a:graphicData>
          </a:graphic>
          <wp14:sizeRelV relativeFrom="margin">
            <wp14:pctHeight>0</wp14:pctHeight>
          </wp14:sizeRelV>
        </wp:anchor>
      </w:drawing>
    </w:r>
    <w:r w:rsidR="00650DE5">
      <w:rPr>
        <w:rFonts w:ascii="Arial" w:eastAsia="Arial" w:hAnsi="Arial" w:cs="Arial"/>
        <w:b/>
        <w:sz w:val="20"/>
        <w:szCs w:val="20"/>
      </w:rPr>
      <w:t xml:space="preserve"> UNIVERSIDAD MILITAR NUEVA GRANADA</w:t>
    </w:r>
  </w:p>
  <w:p w14:paraId="03220FE4" w14:textId="28CAE551" w:rsidR="006C52B4" w:rsidRPr="006C52B4" w:rsidRDefault="006C52B4" w:rsidP="006C52B4">
    <w:pPr>
      <w:tabs>
        <w:tab w:val="center" w:pos="4419"/>
        <w:tab w:val="right" w:pos="8838"/>
      </w:tabs>
      <w:jc w:val="center"/>
      <w:rPr>
        <w:rFonts w:ascii="Arial" w:eastAsia="Arial" w:hAnsi="Arial" w:cs="Arial"/>
        <w:b/>
        <w:sz w:val="20"/>
        <w:szCs w:val="20"/>
      </w:rPr>
    </w:pPr>
    <w:r>
      <w:rPr>
        <w:rFonts w:ascii="Arial" w:eastAsia="Arial" w:hAnsi="Arial" w:cs="Arial"/>
        <w:b/>
        <w:sz w:val="20"/>
        <w:szCs w:val="20"/>
      </w:rPr>
      <w:t>Guion para interactividad</w:t>
    </w:r>
  </w:p>
  <w:p w14:paraId="0361A1EE" w14:textId="77777777" w:rsidR="00E31963" w:rsidRDefault="00650DE5">
    <w:pPr>
      <w:jc w:val="center"/>
    </w:pPr>
    <w:r>
      <w:rPr>
        <w:rFonts w:ascii="Arial" w:eastAsia="Arial" w:hAnsi="Arial" w:cs="Arial"/>
        <w:b/>
        <w:sz w:val="20"/>
        <w:szCs w:val="20"/>
      </w:rPr>
      <w:t>Facultad de Estudios a Distancia FAEDIS</w:t>
    </w:r>
  </w:p>
  <w:p w14:paraId="538DC6EE" w14:textId="77777777" w:rsidR="00E31963" w:rsidRDefault="00650DE5">
    <w:pPr>
      <w:tabs>
        <w:tab w:val="center" w:pos="4419"/>
        <w:tab w:val="right" w:pos="8838"/>
      </w:tabs>
      <w:jc w:val="center"/>
    </w:pPr>
    <w:r>
      <w:rPr>
        <w:rFonts w:ascii="Arial" w:eastAsia="Arial" w:hAnsi="Arial" w:cs="Arial"/>
        <w:b/>
        <w:sz w:val="20"/>
        <w:szCs w:val="20"/>
      </w:rPr>
      <w:t>Dirección Académica de Desarrollo Multimedial</w:t>
    </w:r>
  </w:p>
  <w:p w14:paraId="01157D65" w14:textId="77777777" w:rsidR="00E31963" w:rsidRDefault="00650DE5">
    <w:pPr>
      <w:tabs>
        <w:tab w:val="center" w:pos="4419"/>
        <w:tab w:val="right" w:pos="8838"/>
      </w:tabs>
      <w:jc w:val="center"/>
    </w:pPr>
    <w:r>
      <w:rPr>
        <w:noProof/>
        <w:lang w:val="es-CO" w:eastAsia="es-CO"/>
      </w:rPr>
      <w:drawing>
        <wp:anchor distT="0" distB="0" distL="114300" distR="114300" simplePos="0" relativeHeight="251659264" behindDoc="0" locked="0" layoutInCell="0" hidden="0" allowOverlap="1" wp14:anchorId="5CA70783" wp14:editId="0ED8035C">
          <wp:simplePos x="0" y="0"/>
          <wp:positionH relativeFrom="margin">
            <wp:posOffset>1562100</wp:posOffset>
          </wp:positionH>
          <wp:positionV relativeFrom="paragraph">
            <wp:posOffset>38100</wp:posOffset>
          </wp:positionV>
          <wp:extent cx="5270500" cy="84455"/>
          <wp:effectExtent l="0" t="0" r="0" b="0"/>
          <wp:wrapTopAndBottom distT="0" distB="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2"/>
                  <a:srcRect/>
                  <a:stretch>
                    <a:fillRect/>
                  </a:stretch>
                </pic:blipFill>
                <pic:spPr>
                  <a:xfrm>
                    <a:off x="0" y="0"/>
                    <a:ext cx="5270500" cy="844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A1DAF"/>
    <w:multiLevelType w:val="hybridMultilevel"/>
    <w:tmpl w:val="584CE980"/>
    <w:lvl w:ilvl="0" w:tplc="DE34F108">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7F3557F"/>
    <w:multiLevelType w:val="multilevel"/>
    <w:tmpl w:val="43740664"/>
    <w:lvl w:ilvl="0">
      <w:start w:val="2"/>
      <w:numFmt w:val="decimal"/>
      <w:lvlText w:val="%1."/>
      <w:lvlJc w:val="left"/>
      <w:pPr>
        <w:ind w:left="720" w:hanging="720"/>
      </w:pPr>
      <w:rPr>
        <w:rFonts w:hint="default"/>
      </w:rPr>
    </w:lvl>
    <w:lvl w:ilvl="1">
      <w:start w:val="2"/>
      <w:numFmt w:val="decimal"/>
      <w:lvlText w:val="%1.%2."/>
      <w:lvlJc w:val="left"/>
      <w:pPr>
        <w:ind w:left="1200" w:hanging="72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 w15:restartNumberingAfterBreak="0">
    <w:nsid w:val="2BA10300"/>
    <w:multiLevelType w:val="hybridMultilevel"/>
    <w:tmpl w:val="EEEC695C"/>
    <w:lvl w:ilvl="0" w:tplc="084A81B8">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DB060F"/>
    <w:multiLevelType w:val="hybridMultilevel"/>
    <w:tmpl w:val="BCDCF3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968592B"/>
    <w:multiLevelType w:val="hybridMultilevel"/>
    <w:tmpl w:val="3FE0C4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93F10A5"/>
    <w:multiLevelType w:val="multilevel"/>
    <w:tmpl w:val="89AE4F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CB173B"/>
    <w:multiLevelType w:val="multilevel"/>
    <w:tmpl w:val="DFEAA7F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76AF73ED"/>
    <w:multiLevelType w:val="hybridMultilevel"/>
    <w:tmpl w:val="581A43DC"/>
    <w:lvl w:ilvl="0" w:tplc="9F1C9C1C">
      <w:start w:val="1"/>
      <w:numFmt w:val="decimal"/>
      <w:lvlText w:val="%1."/>
      <w:lvlJc w:val="left"/>
      <w:pPr>
        <w:tabs>
          <w:tab w:val="num" w:pos="720"/>
        </w:tabs>
        <w:ind w:left="720" w:hanging="360"/>
      </w:pPr>
    </w:lvl>
    <w:lvl w:ilvl="1" w:tplc="8F1A5F0C">
      <w:start w:val="1"/>
      <w:numFmt w:val="decimal"/>
      <w:lvlText w:val="%2."/>
      <w:lvlJc w:val="left"/>
      <w:pPr>
        <w:tabs>
          <w:tab w:val="num" w:pos="1440"/>
        </w:tabs>
        <w:ind w:left="1440" w:hanging="360"/>
      </w:pPr>
    </w:lvl>
    <w:lvl w:ilvl="2" w:tplc="D832A6B2">
      <w:start w:val="1"/>
      <w:numFmt w:val="decimal"/>
      <w:lvlText w:val="%3."/>
      <w:lvlJc w:val="left"/>
      <w:pPr>
        <w:tabs>
          <w:tab w:val="num" w:pos="2160"/>
        </w:tabs>
        <w:ind w:left="2160" w:hanging="360"/>
      </w:pPr>
    </w:lvl>
    <w:lvl w:ilvl="3" w:tplc="65F4A550">
      <w:start w:val="1"/>
      <w:numFmt w:val="decimal"/>
      <w:lvlText w:val="%4."/>
      <w:lvlJc w:val="left"/>
      <w:pPr>
        <w:tabs>
          <w:tab w:val="num" w:pos="2880"/>
        </w:tabs>
        <w:ind w:left="2880" w:hanging="360"/>
      </w:pPr>
    </w:lvl>
    <w:lvl w:ilvl="4" w:tplc="5E961EEE">
      <w:start w:val="1"/>
      <w:numFmt w:val="decimal"/>
      <w:lvlText w:val="%5."/>
      <w:lvlJc w:val="left"/>
      <w:pPr>
        <w:tabs>
          <w:tab w:val="num" w:pos="3600"/>
        </w:tabs>
        <w:ind w:left="3600" w:hanging="360"/>
      </w:pPr>
    </w:lvl>
    <w:lvl w:ilvl="5" w:tplc="EC58B39C">
      <w:start w:val="1"/>
      <w:numFmt w:val="decimal"/>
      <w:lvlText w:val="%6."/>
      <w:lvlJc w:val="left"/>
      <w:pPr>
        <w:tabs>
          <w:tab w:val="num" w:pos="4320"/>
        </w:tabs>
        <w:ind w:left="4320" w:hanging="360"/>
      </w:pPr>
    </w:lvl>
    <w:lvl w:ilvl="6" w:tplc="1E4E1B6E">
      <w:start w:val="1"/>
      <w:numFmt w:val="decimal"/>
      <w:lvlText w:val="%7."/>
      <w:lvlJc w:val="left"/>
      <w:pPr>
        <w:tabs>
          <w:tab w:val="num" w:pos="5040"/>
        </w:tabs>
        <w:ind w:left="5040" w:hanging="360"/>
      </w:pPr>
    </w:lvl>
    <w:lvl w:ilvl="7" w:tplc="BB6E0B68">
      <w:start w:val="1"/>
      <w:numFmt w:val="decimal"/>
      <w:lvlText w:val="%8."/>
      <w:lvlJc w:val="left"/>
      <w:pPr>
        <w:tabs>
          <w:tab w:val="num" w:pos="5760"/>
        </w:tabs>
        <w:ind w:left="5760" w:hanging="360"/>
      </w:pPr>
    </w:lvl>
    <w:lvl w:ilvl="8" w:tplc="CF72FC16">
      <w:start w:val="1"/>
      <w:numFmt w:val="decimal"/>
      <w:lvlText w:val="%9."/>
      <w:lvlJc w:val="left"/>
      <w:pPr>
        <w:tabs>
          <w:tab w:val="num" w:pos="6480"/>
        </w:tabs>
        <w:ind w:left="6480" w:hanging="360"/>
      </w:pPr>
    </w:lvl>
  </w:abstractNum>
  <w:abstractNum w:abstractNumId="8" w15:restartNumberingAfterBreak="0">
    <w:nsid w:val="77BC2C31"/>
    <w:multiLevelType w:val="hybridMultilevel"/>
    <w:tmpl w:val="1F1600F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C396360"/>
    <w:multiLevelType w:val="multilevel"/>
    <w:tmpl w:val="51C6B3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6"/>
  </w:num>
  <w:num w:numId="2">
    <w:abstractNumId w:val="9"/>
  </w:num>
  <w:num w:numId="3">
    <w:abstractNumId w:val="3"/>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963"/>
    <w:rsid w:val="0000535E"/>
    <w:rsid w:val="00051F3B"/>
    <w:rsid w:val="000F7A69"/>
    <w:rsid w:val="002B5B15"/>
    <w:rsid w:val="003F4354"/>
    <w:rsid w:val="004955D6"/>
    <w:rsid w:val="004D00B1"/>
    <w:rsid w:val="005349CD"/>
    <w:rsid w:val="006025F7"/>
    <w:rsid w:val="00650DE5"/>
    <w:rsid w:val="00681C7D"/>
    <w:rsid w:val="006856D0"/>
    <w:rsid w:val="00690814"/>
    <w:rsid w:val="006A38D7"/>
    <w:rsid w:val="006C52B4"/>
    <w:rsid w:val="007A2AF1"/>
    <w:rsid w:val="007B34B6"/>
    <w:rsid w:val="0082539A"/>
    <w:rsid w:val="008573E7"/>
    <w:rsid w:val="00866408"/>
    <w:rsid w:val="00882C47"/>
    <w:rsid w:val="008A0CE5"/>
    <w:rsid w:val="008A7244"/>
    <w:rsid w:val="008F54C7"/>
    <w:rsid w:val="00906647"/>
    <w:rsid w:val="00936808"/>
    <w:rsid w:val="00974FEF"/>
    <w:rsid w:val="00A11E71"/>
    <w:rsid w:val="00A25FAD"/>
    <w:rsid w:val="00A7399D"/>
    <w:rsid w:val="00A85668"/>
    <w:rsid w:val="00B45501"/>
    <w:rsid w:val="00B965CE"/>
    <w:rsid w:val="00BB01F2"/>
    <w:rsid w:val="00BD4F2F"/>
    <w:rsid w:val="00C13ABB"/>
    <w:rsid w:val="00C24021"/>
    <w:rsid w:val="00C4659F"/>
    <w:rsid w:val="00C64C96"/>
    <w:rsid w:val="00C95173"/>
    <w:rsid w:val="00CC366C"/>
    <w:rsid w:val="00CD0788"/>
    <w:rsid w:val="00CE77D5"/>
    <w:rsid w:val="00D354AC"/>
    <w:rsid w:val="00D76471"/>
    <w:rsid w:val="00DB4C57"/>
    <w:rsid w:val="00DE370C"/>
    <w:rsid w:val="00E0080A"/>
    <w:rsid w:val="00E31963"/>
    <w:rsid w:val="00E373F7"/>
    <w:rsid w:val="00E525BA"/>
    <w:rsid w:val="00E668FA"/>
    <w:rsid w:val="00E93899"/>
    <w:rsid w:val="00EC14AA"/>
    <w:rsid w:val="00EC3319"/>
    <w:rsid w:val="00ED551D"/>
    <w:rsid w:val="00EF0913"/>
    <w:rsid w:val="00F25A6A"/>
    <w:rsid w:val="00F43245"/>
    <w:rsid w:val="00FC23A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5A0F0"/>
  <w15:docId w15:val="{C94E424A-9A20-46C8-A96B-B96F03BE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outlineLvl w:val="0"/>
    </w:pPr>
    <w:rPr>
      <w:rFonts w:ascii="Arial" w:eastAsia="Arial" w:hAnsi="Arial" w:cs="Arial"/>
      <w:b/>
    </w:rPr>
  </w:style>
  <w:style w:type="paragraph" w:styleId="Ttulo2">
    <w:name w:val="heading 2"/>
    <w:basedOn w:val="Normal"/>
    <w:next w:val="Normal"/>
    <w:pPr>
      <w:keepNext/>
      <w:keepLines/>
      <w:jc w:val="right"/>
      <w:outlineLvl w:val="1"/>
    </w:pPr>
    <w:rPr>
      <w:rFonts w:ascii="Arial" w:eastAsia="Arial" w:hAnsi="Arial" w:cs="Arial"/>
      <w:b/>
    </w:rPr>
  </w:style>
  <w:style w:type="paragraph" w:styleId="Ttulo3">
    <w:name w:val="heading 3"/>
    <w:basedOn w:val="Normal"/>
    <w:next w:val="Normal"/>
    <w:pPr>
      <w:keepNext/>
      <w:keepLines/>
      <w:spacing w:before="200"/>
      <w:outlineLvl w:val="2"/>
    </w:pPr>
    <w:rPr>
      <w:rFonts w:ascii="Cambria" w:eastAsia="Cambria" w:hAnsi="Cambria" w:cs="Cambria"/>
      <w:b/>
      <w:color w:val="4F81BD"/>
    </w:rPr>
  </w:style>
  <w:style w:type="paragraph" w:styleId="Ttulo4">
    <w:name w:val="heading 4"/>
    <w:basedOn w:val="Normal"/>
    <w:next w:val="Normal"/>
    <w:pPr>
      <w:keepNext/>
      <w:keepLines/>
      <w:spacing w:before="200" w:line="274" w:lineRule="auto"/>
      <w:ind w:left="864" w:hanging="864"/>
      <w:outlineLvl w:val="3"/>
    </w:pPr>
    <w:rPr>
      <w:rFonts w:ascii="Cambria" w:eastAsia="Cambria" w:hAnsi="Cambria" w:cs="Cambria"/>
      <w:b/>
      <w:i/>
      <w:color w:val="262626"/>
      <w:sz w:val="22"/>
      <w:szCs w:val="22"/>
    </w:rPr>
  </w:style>
  <w:style w:type="paragraph" w:styleId="Ttulo5">
    <w:name w:val="heading 5"/>
    <w:basedOn w:val="Normal"/>
    <w:next w:val="Normal"/>
    <w:pPr>
      <w:keepNext/>
      <w:keepLines/>
      <w:spacing w:before="200" w:line="274" w:lineRule="auto"/>
      <w:ind w:left="1008" w:hanging="1008"/>
      <w:outlineLvl w:val="4"/>
    </w:pPr>
    <w:rPr>
      <w:rFonts w:ascii="Cambria" w:eastAsia="Cambria" w:hAnsi="Cambria" w:cs="Cambria"/>
      <w:sz w:val="22"/>
      <w:szCs w:val="22"/>
    </w:rPr>
  </w:style>
  <w:style w:type="paragraph" w:styleId="Ttulo6">
    <w:name w:val="heading 6"/>
    <w:basedOn w:val="Normal"/>
    <w:next w:val="Normal"/>
    <w:pPr>
      <w:keepNext/>
      <w:keepLines/>
      <w:spacing w:before="200" w:line="276" w:lineRule="auto"/>
      <w:outlineLvl w:val="5"/>
    </w:pPr>
    <w:rPr>
      <w:rFonts w:ascii="Cambria" w:eastAsia="Cambria" w:hAnsi="Cambria" w:cs="Cambria"/>
      <w:i/>
      <w:color w:val="243F61"/>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Encabezado">
    <w:name w:val="header"/>
    <w:basedOn w:val="Normal"/>
    <w:link w:val="EncabezadoCar"/>
    <w:uiPriority w:val="99"/>
    <w:unhideWhenUsed/>
    <w:rsid w:val="00EC14AA"/>
    <w:pPr>
      <w:tabs>
        <w:tab w:val="center" w:pos="4252"/>
        <w:tab w:val="right" w:pos="8504"/>
      </w:tabs>
    </w:pPr>
  </w:style>
  <w:style w:type="character" w:customStyle="1" w:styleId="EncabezadoCar">
    <w:name w:val="Encabezado Car"/>
    <w:basedOn w:val="Fuentedeprrafopredeter"/>
    <w:link w:val="Encabezado"/>
    <w:uiPriority w:val="99"/>
    <w:rsid w:val="00EC14AA"/>
  </w:style>
  <w:style w:type="paragraph" w:styleId="Piedepgina">
    <w:name w:val="footer"/>
    <w:basedOn w:val="Normal"/>
    <w:link w:val="PiedepginaCar"/>
    <w:unhideWhenUsed/>
    <w:rsid w:val="00EC14AA"/>
    <w:pPr>
      <w:tabs>
        <w:tab w:val="center" w:pos="4252"/>
        <w:tab w:val="right" w:pos="8504"/>
      </w:tabs>
    </w:pPr>
  </w:style>
  <w:style w:type="character" w:customStyle="1" w:styleId="PiedepginaCar">
    <w:name w:val="Pie de página Car"/>
    <w:basedOn w:val="Fuentedeprrafopredeter"/>
    <w:link w:val="Piedepgina"/>
    <w:rsid w:val="00EC14AA"/>
  </w:style>
  <w:style w:type="paragraph" w:styleId="NormalWeb">
    <w:name w:val="Normal (Web)"/>
    <w:basedOn w:val="Normal"/>
    <w:uiPriority w:val="99"/>
    <w:unhideWhenUsed/>
    <w:rsid w:val="00C24021"/>
    <w:pPr>
      <w:spacing w:before="100" w:beforeAutospacing="1" w:after="100" w:afterAutospacing="1"/>
    </w:pPr>
    <w:rPr>
      <w:rFonts w:ascii="Times" w:hAnsi="Times"/>
      <w:color w:val="auto"/>
      <w:sz w:val="20"/>
      <w:szCs w:val="20"/>
      <w:lang w:eastAsia="es-ES"/>
    </w:rPr>
  </w:style>
  <w:style w:type="table" w:styleId="Tablaconcuadrcula">
    <w:name w:val="Table Grid"/>
    <w:basedOn w:val="Tablanormal"/>
    <w:uiPriority w:val="59"/>
    <w:rsid w:val="00C24021"/>
    <w:rPr>
      <w:rFonts w:asciiTheme="minorHAnsi" w:eastAsiaTheme="minorEastAsia" w:hAnsiTheme="minorHAnsi" w:cstheme="minorBidi"/>
      <w:color w:val="auto"/>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882C47"/>
    <w:rPr>
      <w:color w:val="0000FF"/>
      <w:u w:val="single"/>
    </w:rPr>
  </w:style>
  <w:style w:type="paragraph" w:styleId="Prrafodelista">
    <w:name w:val="List Paragraph"/>
    <w:basedOn w:val="Normal"/>
    <w:uiPriority w:val="34"/>
    <w:qFormat/>
    <w:rsid w:val="00882C47"/>
    <w:pPr>
      <w:ind w:left="720"/>
      <w:contextualSpacing/>
      <w:jc w:val="both"/>
    </w:pPr>
    <w:rPr>
      <w:rFonts w:ascii="Arial" w:hAnsi="Arial"/>
      <w:color w:val="auto"/>
      <w:szCs w:val="20"/>
      <w:lang w:val="es-CO" w:eastAsia="es-CO"/>
    </w:rPr>
  </w:style>
  <w:style w:type="paragraph" w:customStyle="1" w:styleId="Default">
    <w:name w:val="Default"/>
    <w:rsid w:val="00EC3319"/>
    <w:pPr>
      <w:autoSpaceDE w:val="0"/>
      <w:autoSpaceDN w:val="0"/>
      <w:adjustRightInd w:val="0"/>
    </w:pPr>
    <w:rPr>
      <w:rFonts w:ascii="Garamond" w:hAnsi="Garamond" w:cs="Garamond"/>
      <w:lang w:val="es-CO" w:eastAsia="es-CO"/>
    </w:rPr>
  </w:style>
  <w:style w:type="character" w:styleId="Textoennegrita">
    <w:name w:val="Strong"/>
    <w:basedOn w:val="Fuentedeprrafopredeter"/>
    <w:uiPriority w:val="22"/>
    <w:qFormat/>
    <w:rsid w:val="00EC3319"/>
    <w:rPr>
      <w:b/>
      <w:bCs/>
    </w:rPr>
  </w:style>
  <w:style w:type="character" w:styleId="Nmerodepgina">
    <w:name w:val="page number"/>
    <w:basedOn w:val="Fuentedeprrafopredeter"/>
    <w:rsid w:val="00D354AC"/>
  </w:style>
  <w:style w:type="paragraph" w:styleId="Lista4">
    <w:name w:val="List 4"/>
    <w:basedOn w:val="Normal"/>
    <w:rsid w:val="00CE77D5"/>
    <w:pPr>
      <w:ind w:left="1132" w:hanging="283"/>
      <w:contextualSpacing/>
    </w:pPr>
    <w:rPr>
      <w:color w:val="auto"/>
      <w:lang w:val="es-CO" w:eastAsia="en-US"/>
    </w:rPr>
  </w:style>
  <w:style w:type="character" w:styleId="nfasis">
    <w:name w:val="Emphasis"/>
    <w:basedOn w:val="Fuentedeprrafopredeter"/>
    <w:uiPriority w:val="20"/>
    <w:qFormat/>
    <w:rsid w:val="00DE370C"/>
    <w:rPr>
      <w:i/>
      <w:iCs/>
    </w:rPr>
  </w:style>
  <w:style w:type="character" w:customStyle="1" w:styleId="TtuloCar">
    <w:name w:val="Título Car"/>
    <w:basedOn w:val="Fuentedeprrafopredeter"/>
    <w:link w:val="Ttulo"/>
    <w:rsid w:val="006025F7"/>
    <w:rPr>
      <w:b/>
      <w:sz w:val="72"/>
      <w:szCs w:val="72"/>
    </w:rPr>
  </w:style>
  <w:style w:type="character" w:styleId="Hipervnculovisitado">
    <w:name w:val="FollowedHyperlink"/>
    <w:basedOn w:val="Fuentedeprrafopredeter"/>
    <w:uiPriority w:val="99"/>
    <w:semiHidden/>
    <w:unhideWhenUsed/>
    <w:rsid w:val="00C64C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532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virtual.umng.edu.co/distancia/ecosistema/ovas/dadm/manual_autor/unidad_1/medios/interactividades/pat14_2/html/galeria.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AUD15</b:Tag>
    <b:SourceType>InternetSite</b:SourceType>
    <b:Guid>{415BBE65-E3C9-4447-81AB-8535C4E57F75}</b:Guid>
    <b:Author>
      <b:Author>
        <b:Corporate>AUDITOOL</b:Corporate>
      </b:Author>
    </b:Author>
    <b:Title>Red Globla de conociemientos en Auditoría y Control Interno</b:Title>
    <b:InternetSiteTitle>https://www.auditool.org</b:InternetSiteTitle>
    <b:Year>2015</b:Year>
    <b:Month>Julio</b:Month>
    <b:Day>09</b:Day>
    <b:URL>https://www.auditool.org/blog/auditoria-externa/331-la-materialidad-en-la-planeacion-y-desarrollo-de-una-auditoria</b:URL>
    <b:RefOrder>5</b:RefOrder>
  </b:Source>
</b:Sources>
</file>

<file path=customXml/itemProps1.xml><?xml version="1.0" encoding="utf-8"?>
<ds:datastoreItem xmlns:ds="http://schemas.openxmlformats.org/officeDocument/2006/customXml" ds:itemID="{06BBAD19-BD64-437A-906D-96ACBE644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568</Words>
  <Characters>3129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Esteban</dc:creator>
  <cp:lastModifiedBy>Lorena Romero</cp:lastModifiedBy>
  <cp:revision>3</cp:revision>
  <dcterms:created xsi:type="dcterms:W3CDTF">2020-07-01T14:24:00Z</dcterms:created>
  <dcterms:modified xsi:type="dcterms:W3CDTF">2020-10-01T13:47:00Z</dcterms:modified>
</cp:coreProperties>
</file>