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36" w:rsidRDefault="009F6B36" w:rsidP="009F6B3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Categorías para la asignación de precios</w:t>
      </w:r>
    </w:p>
    <w:p w:rsidR="009F6B36" w:rsidRDefault="00A32D18" w:rsidP="00A32D18">
      <w:pPr>
        <w:jc w:val="both"/>
        <w:rPr>
          <w:rStyle w:val="Hipervnculo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Pr="00A32D18">
        <w:rPr>
          <w:rFonts w:ascii="Arial" w:hAnsi="Arial" w:cs="Arial"/>
          <w:bCs/>
          <w:sz w:val="24"/>
          <w:szCs w:val="24"/>
        </w:rPr>
        <w:t xml:space="preserve">realizar interactividad de 3 secciones con la plantilla: </w:t>
      </w:r>
      <w:r w:rsidR="009D2FFB" w:rsidRPr="009D2FFB">
        <w:rPr>
          <w:rStyle w:val="Hipervnculo"/>
          <w:rFonts w:ascii="Arial" w:hAnsi="Arial" w:cs="Arial"/>
          <w:bCs/>
          <w:sz w:val="24"/>
          <w:szCs w:val="24"/>
        </w:rPr>
        <w:t xml:space="preserve">Edge\3 </w:t>
      </w:r>
      <w:proofErr w:type="spellStart"/>
      <w:r w:rsidR="009D2FFB" w:rsidRPr="009D2FFB">
        <w:rPr>
          <w:rStyle w:val="Hipervnculo"/>
          <w:rFonts w:ascii="Arial" w:hAnsi="Arial" w:cs="Arial"/>
          <w:bCs/>
          <w:sz w:val="24"/>
          <w:szCs w:val="24"/>
        </w:rPr>
        <w:t>items</w:t>
      </w:r>
      <w:proofErr w:type="spellEnd"/>
      <w:r w:rsidR="009D2FFB" w:rsidRPr="009D2FFB">
        <w:rPr>
          <w:rStyle w:val="Hipervnculo"/>
          <w:rFonts w:ascii="Arial" w:hAnsi="Arial" w:cs="Arial"/>
          <w:bCs/>
          <w:sz w:val="24"/>
          <w:szCs w:val="24"/>
        </w:rPr>
        <w:t>\</w:t>
      </w:r>
      <w:proofErr w:type="spellStart"/>
      <w:r w:rsidR="009D2FFB" w:rsidRPr="009D2FFB">
        <w:rPr>
          <w:rStyle w:val="Hipervnculo"/>
          <w:rFonts w:ascii="Arial" w:hAnsi="Arial" w:cs="Arial"/>
          <w:bCs/>
          <w:sz w:val="24"/>
          <w:szCs w:val="24"/>
        </w:rPr>
        <w:t>categorias_colores_info_lateral</w:t>
      </w:r>
      <w:proofErr w:type="spellEnd"/>
      <w:r w:rsidR="009D2FFB" w:rsidRPr="009D2FFB">
        <w:rPr>
          <w:rStyle w:val="Hipervnculo"/>
          <w:rFonts w:ascii="Arial" w:hAnsi="Arial" w:cs="Arial"/>
          <w:bCs/>
          <w:sz w:val="24"/>
          <w:szCs w:val="24"/>
        </w:rPr>
        <w:t>\editable</w:t>
      </w:r>
      <w:r w:rsidR="009D2FFB">
        <w:rPr>
          <w:rStyle w:val="Hipervnculo"/>
          <w:rFonts w:ascii="Arial" w:hAnsi="Arial" w:cs="Arial"/>
          <w:bCs/>
          <w:sz w:val="24"/>
          <w:szCs w:val="24"/>
        </w:rPr>
        <w:t>.</w:t>
      </w:r>
    </w:p>
    <w:p w:rsidR="009750AE" w:rsidRDefault="009750AE" w:rsidP="00A32D18">
      <w:pPr>
        <w:jc w:val="both"/>
        <w:rPr>
          <w:rFonts w:ascii="Arial" w:hAnsi="Arial" w:cs="Arial"/>
          <w:bCs/>
          <w:sz w:val="24"/>
          <w:szCs w:val="24"/>
        </w:rPr>
      </w:pPr>
    </w:p>
    <w:p w:rsidR="0091612F" w:rsidRPr="009750AE" w:rsidRDefault="0091612F" w:rsidP="0091612F">
      <w:pPr>
        <w:jc w:val="center"/>
        <w:rPr>
          <w:rFonts w:ascii="Arial" w:hAnsi="Arial" w:cs="Arial"/>
          <w:b/>
          <w:bCs/>
          <w:i/>
          <w:color w:val="4472C4" w:themeColor="accent5"/>
          <w:sz w:val="24"/>
          <w:szCs w:val="24"/>
          <w:lang w:val="es-MX"/>
        </w:rPr>
      </w:pPr>
      <w:r w:rsidRPr="009750AE">
        <w:rPr>
          <w:rFonts w:ascii="Arial" w:hAnsi="Arial" w:cs="Arial"/>
          <w:b/>
          <w:bCs/>
          <w:i/>
          <w:color w:val="4472C4" w:themeColor="accent5"/>
          <w:sz w:val="24"/>
          <w:szCs w:val="24"/>
        </w:rPr>
        <w:t>Haz clic en cada título para ampliar la información:</w:t>
      </w:r>
    </w:p>
    <w:p w:rsidR="00A32D18" w:rsidRDefault="00A32D18" w:rsidP="00A32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6B36" w:rsidRPr="002B6397" w:rsidRDefault="009F6B36" w:rsidP="009F6B36">
      <w:pPr>
        <w:rPr>
          <w:rFonts w:ascii="Arial" w:hAnsi="Arial" w:cs="Arial"/>
          <w:b/>
          <w:bCs/>
          <w:sz w:val="24"/>
          <w:szCs w:val="24"/>
        </w:rPr>
      </w:pPr>
      <w:r w:rsidRPr="0062681D">
        <w:rPr>
          <w:rFonts w:ascii="Arial" w:hAnsi="Arial" w:cs="Arial"/>
          <w:b/>
          <w:bCs/>
          <w:sz w:val="24"/>
          <w:szCs w:val="24"/>
          <w:highlight w:val="yellow"/>
        </w:rPr>
        <w:t>Orientación hacia las utilidades</w:t>
      </w:r>
    </w:p>
    <w:p w:rsidR="009F6B36" w:rsidRDefault="009F6B36" w:rsidP="00F15DAF">
      <w:pPr>
        <w:jc w:val="both"/>
        <w:rPr>
          <w:rFonts w:ascii="Arial" w:hAnsi="Arial" w:cs="Arial"/>
          <w:sz w:val="24"/>
          <w:szCs w:val="24"/>
        </w:rPr>
      </w:pPr>
      <w:r w:rsidRPr="00292189">
        <w:rPr>
          <w:rFonts w:ascii="Arial" w:hAnsi="Arial" w:cs="Arial"/>
          <w:sz w:val="24"/>
          <w:szCs w:val="24"/>
        </w:rPr>
        <w:t>Cuando una empresa se orienta hacia las utilidades</w:t>
      </w:r>
      <w:r w:rsidR="00C85D0E">
        <w:rPr>
          <w:rFonts w:ascii="Arial" w:hAnsi="Arial" w:cs="Arial"/>
          <w:sz w:val="24"/>
          <w:szCs w:val="24"/>
        </w:rPr>
        <w:t xml:space="preserve"> </w:t>
      </w:r>
      <w:r w:rsidRPr="00292189">
        <w:rPr>
          <w:rFonts w:ascii="Arial" w:hAnsi="Arial" w:cs="Arial"/>
          <w:sz w:val="24"/>
          <w:szCs w:val="24"/>
        </w:rPr>
        <w:t xml:space="preserve">está buscando </w:t>
      </w:r>
      <w:r>
        <w:rPr>
          <w:rFonts w:ascii="Arial" w:hAnsi="Arial" w:cs="Arial"/>
          <w:sz w:val="24"/>
          <w:szCs w:val="24"/>
        </w:rPr>
        <w:t xml:space="preserve">que </w:t>
      </w:r>
      <w:r w:rsidRPr="00292189">
        <w:rPr>
          <w:rFonts w:ascii="Arial" w:hAnsi="Arial" w:cs="Arial"/>
          <w:sz w:val="24"/>
          <w:szCs w:val="24"/>
        </w:rPr>
        <w:t>sus ganancias sean lo más altas posibles en relación con los costos totales</w:t>
      </w:r>
      <w:r w:rsidR="00836047">
        <w:rPr>
          <w:rFonts w:ascii="Arial" w:hAnsi="Arial" w:cs="Arial"/>
          <w:sz w:val="24"/>
          <w:szCs w:val="24"/>
        </w:rPr>
        <w:t>. Para lograrlo se puede</w:t>
      </w:r>
      <w:r>
        <w:rPr>
          <w:rFonts w:ascii="Arial" w:hAnsi="Arial" w:cs="Arial"/>
          <w:sz w:val="24"/>
          <w:szCs w:val="24"/>
        </w:rPr>
        <w:t xml:space="preserve"> incrementar la satisfacción de los clientes, con </w:t>
      </w:r>
      <w:r w:rsidR="00836047">
        <w:rPr>
          <w:rFonts w:ascii="Arial" w:hAnsi="Arial" w:cs="Arial"/>
          <w:sz w:val="24"/>
          <w:szCs w:val="24"/>
        </w:rPr>
        <w:t>lo que lograrían mayores ventas</w:t>
      </w:r>
      <w:r>
        <w:rPr>
          <w:rFonts w:ascii="Arial" w:hAnsi="Arial" w:cs="Arial"/>
          <w:sz w:val="24"/>
          <w:szCs w:val="24"/>
        </w:rPr>
        <w:t xml:space="preserve"> o también pueden enfocarse en reducir los costos de </w:t>
      </w:r>
      <w:r w:rsidR="00836047">
        <w:rPr>
          <w:rFonts w:ascii="Arial" w:hAnsi="Arial" w:cs="Arial"/>
          <w:sz w:val="24"/>
          <w:szCs w:val="24"/>
        </w:rPr>
        <w:t>producción, operando más eficazmente</w:t>
      </w:r>
      <w:r>
        <w:rPr>
          <w:rFonts w:ascii="Arial" w:hAnsi="Arial" w:cs="Arial"/>
          <w:sz w:val="24"/>
          <w:szCs w:val="24"/>
        </w:rPr>
        <w:t xml:space="preserve"> o, lo más utilizado</w:t>
      </w:r>
      <w:r w:rsidR="0083604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una mezcla de estas dos opciones.</w:t>
      </w:r>
    </w:p>
    <w:p w:rsidR="00A0562F" w:rsidRPr="002B6397" w:rsidRDefault="00A0562F" w:rsidP="000679BB">
      <w:pPr>
        <w:jc w:val="both"/>
        <w:rPr>
          <w:rFonts w:ascii="Arial" w:hAnsi="Arial" w:cs="Arial"/>
          <w:sz w:val="24"/>
          <w:szCs w:val="24"/>
        </w:rPr>
      </w:pPr>
      <w:r w:rsidRPr="002B6397">
        <w:rPr>
          <w:rFonts w:ascii="Arial" w:hAnsi="Arial" w:cs="Arial"/>
          <w:sz w:val="24"/>
          <w:szCs w:val="24"/>
        </w:rPr>
        <w:t>El rend</w:t>
      </w:r>
      <w:r>
        <w:rPr>
          <w:rFonts w:ascii="Arial" w:hAnsi="Arial" w:cs="Arial"/>
          <w:sz w:val="24"/>
          <w:szCs w:val="24"/>
        </w:rPr>
        <w:t>imiento meta sobre la inversión, ROI</w:t>
      </w:r>
      <w:r w:rsidRPr="002B6397">
        <w:rPr>
          <w:rFonts w:ascii="Arial" w:hAnsi="Arial" w:cs="Arial"/>
          <w:sz w:val="24"/>
          <w:szCs w:val="24"/>
        </w:rPr>
        <w:t xml:space="preserve"> por sus siglas en inglés (</w:t>
      </w:r>
      <w:proofErr w:type="spellStart"/>
      <w:r w:rsidRPr="002B6397">
        <w:rPr>
          <w:rFonts w:ascii="Arial" w:hAnsi="Arial" w:cs="Arial"/>
          <w:sz w:val="24"/>
          <w:szCs w:val="24"/>
        </w:rPr>
        <w:t>Return</w:t>
      </w:r>
      <w:proofErr w:type="spellEnd"/>
      <w:r w:rsidRPr="002B6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397">
        <w:rPr>
          <w:rFonts w:ascii="Arial" w:hAnsi="Arial" w:cs="Arial"/>
          <w:sz w:val="24"/>
          <w:szCs w:val="24"/>
        </w:rPr>
        <w:t>on</w:t>
      </w:r>
      <w:proofErr w:type="spellEnd"/>
      <w:r w:rsidRPr="002B63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397">
        <w:rPr>
          <w:rFonts w:ascii="Arial" w:hAnsi="Arial" w:cs="Arial"/>
          <w:sz w:val="24"/>
          <w:szCs w:val="24"/>
        </w:rPr>
        <w:t>investment</w:t>
      </w:r>
      <w:proofErr w:type="spellEnd"/>
      <w:r w:rsidRPr="002B6397">
        <w:rPr>
          <w:rFonts w:ascii="Arial" w:hAnsi="Arial" w:cs="Arial"/>
          <w:sz w:val="24"/>
          <w:szCs w:val="24"/>
        </w:rPr>
        <w:t xml:space="preserve">) mide la eficacia de la gerencia para generar utilidades con los activos disponibles. </w:t>
      </w:r>
    </w:p>
    <w:p w:rsidR="00A0562F" w:rsidRDefault="00A0562F" w:rsidP="00A0562F">
      <w:pPr>
        <w:rPr>
          <w:rFonts w:ascii="Arial" w:hAnsi="Arial" w:cs="Arial"/>
          <w:sz w:val="24"/>
          <w:szCs w:val="24"/>
          <w:highlight w:val="yellow"/>
        </w:rPr>
      </w:pPr>
      <w:r w:rsidRPr="002B6397">
        <w:rPr>
          <w:rFonts w:ascii="Arial" w:hAnsi="Arial" w:cs="Arial"/>
          <w:sz w:val="24"/>
          <w:szCs w:val="24"/>
        </w:rPr>
        <w:t xml:space="preserve">ROI = </w:t>
      </w:r>
      <w:r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Utilidad neta después de impuestos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Activos totales</m:t>
            </m:r>
          </m:den>
        </m:f>
      </m:oMath>
    </w:p>
    <w:p w:rsidR="009F6B36" w:rsidRPr="009D7D5D" w:rsidRDefault="009F6B36" w:rsidP="009F6B36">
      <w:pPr>
        <w:rPr>
          <w:rFonts w:ascii="Arial" w:hAnsi="Arial" w:cs="Arial"/>
          <w:b/>
          <w:bCs/>
          <w:sz w:val="24"/>
          <w:szCs w:val="24"/>
        </w:rPr>
      </w:pPr>
      <w:r w:rsidRPr="0062681D">
        <w:rPr>
          <w:rFonts w:ascii="Arial" w:hAnsi="Arial" w:cs="Arial"/>
          <w:b/>
          <w:bCs/>
          <w:sz w:val="24"/>
          <w:szCs w:val="24"/>
          <w:highlight w:val="yellow"/>
        </w:rPr>
        <w:t>Orientación a las ventas</w:t>
      </w:r>
      <w:r w:rsidRPr="009D7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6B36" w:rsidRDefault="009F6B36" w:rsidP="00DE5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orientación</w:t>
      </w:r>
      <w:r w:rsidR="00C9200F">
        <w:rPr>
          <w:rFonts w:ascii="Arial" w:hAnsi="Arial" w:cs="Arial"/>
          <w:sz w:val="24"/>
          <w:szCs w:val="24"/>
        </w:rPr>
        <w:t xml:space="preserve"> el objetivo de</w:t>
      </w:r>
      <w:r>
        <w:rPr>
          <w:rFonts w:ascii="Arial" w:hAnsi="Arial" w:cs="Arial"/>
          <w:sz w:val="24"/>
          <w:szCs w:val="24"/>
        </w:rPr>
        <w:t xml:space="preserve"> la gerencia se basa en la participación de la empresa en relación a las ventas totales de la industria a la que pertenece, o sea</w:t>
      </w:r>
      <w:r w:rsidR="00C920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llamada </w:t>
      </w:r>
      <w:r w:rsidR="0003019A">
        <w:rPr>
          <w:rFonts w:ascii="Arial" w:hAnsi="Arial" w:cs="Arial"/>
          <w:sz w:val="24"/>
          <w:szCs w:val="24"/>
        </w:rPr>
        <w:t>“p</w:t>
      </w:r>
      <w:r w:rsidR="00C9200F">
        <w:rPr>
          <w:rFonts w:ascii="Arial" w:hAnsi="Arial" w:cs="Arial"/>
          <w:sz w:val="24"/>
          <w:szCs w:val="24"/>
        </w:rPr>
        <w:t>articipación del m</w:t>
      </w:r>
      <w:r>
        <w:rPr>
          <w:rFonts w:ascii="Arial" w:hAnsi="Arial" w:cs="Arial"/>
          <w:sz w:val="24"/>
          <w:szCs w:val="24"/>
        </w:rPr>
        <w:t>ercado”</w:t>
      </w:r>
      <w:r w:rsidR="00C920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49BB" w:rsidRDefault="00DE5CD5" w:rsidP="008B49BB">
      <w:pPr>
        <w:jc w:val="both"/>
        <w:rPr>
          <w:rFonts w:ascii="Arial" w:hAnsi="Arial" w:cs="Arial"/>
          <w:sz w:val="24"/>
          <w:szCs w:val="24"/>
        </w:rPr>
      </w:pPr>
      <w:r w:rsidRPr="00DE5CD5">
        <w:rPr>
          <w:rFonts w:ascii="Arial" w:hAnsi="Arial" w:cs="Arial"/>
          <w:sz w:val="24"/>
          <w:szCs w:val="24"/>
        </w:rPr>
        <w:t xml:space="preserve">La participación del mercado son las ventas del producto de una empresa con respecto a las ventas totales de esa industria. Estas ventas pueden reportarse en pesos o en unidades, aunque lo más común y adecuado es reportarlas en unidades.  </w:t>
      </w:r>
      <w:r w:rsidR="008B49BB" w:rsidRPr="001B78DA">
        <w:rPr>
          <w:rFonts w:ascii="Arial" w:hAnsi="Arial" w:cs="Arial"/>
          <w:sz w:val="24"/>
          <w:szCs w:val="24"/>
        </w:rPr>
        <w:t>Las participaciones más grandes de mercado</w:t>
      </w:r>
      <w:r w:rsidR="008B49BB">
        <w:rPr>
          <w:rFonts w:ascii="Arial" w:hAnsi="Arial" w:cs="Arial"/>
          <w:sz w:val="24"/>
          <w:szCs w:val="24"/>
        </w:rPr>
        <w:t>,</w:t>
      </w:r>
      <w:r w:rsidR="008B49BB" w:rsidRPr="001B78DA">
        <w:rPr>
          <w:rFonts w:ascii="Arial" w:hAnsi="Arial" w:cs="Arial"/>
          <w:sz w:val="24"/>
          <w:szCs w:val="24"/>
        </w:rPr>
        <w:t xml:space="preserve"> a menudo</w:t>
      </w:r>
      <w:r w:rsidR="008B49BB">
        <w:rPr>
          <w:rFonts w:ascii="Arial" w:hAnsi="Arial" w:cs="Arial"/>
          <w:sz w:val="24"/>
          <w:szCs w:val="24"/>
        </w:rPr>
        <w:t>,</w:t>
      </w:r>
      <w:r w:rsidR="008B49BB" w:rsidRPr="001B78DA">
        <w:rPr>
          <w:rFonts w:ascii="Arial" w:hAnsi="Arial" w:cs="Arial"/>
          <w:sz w:val="24"/>
          <w:szCs w:val="24"/>
        </w:rPr>
        <w:t xml:space="preserve"> significan mayores ganancias por tener mayor economía de escala</w:t>
      </w:r>
      <w:r w:rsidR="008B49BB">
        <w:rPr>
          <w:rFonts w:ascii="Arial" w:hAnsi="Arial" w:cs="Arial"/>
          <w:sz w:val="24"/>
          <w:szCs w:val="24"/>
        </w:rPr>
        <w:t>.</w:t>
      </w:r>
    </w:p>
    <w:p w:rsidR="00DE5CD5" w:rsidRDefault="00DE5CD5" w:rsidP="00DE5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orientación a las ventas los gerentes también pueden optar por maximizar las ventas de sus productos. </w:t>
      </w:r>
    </w:p>
    <w:p w:rsidR="009F6B36" w:rsidRPr="006C18DF" w:rsidRDefault="009F6B36" w:rsidP="009F6B36">
      <w:pPr>
        <w:rPr>
          <w:rFonts w:ascii="Arial" w:hAnsi="Arial" w:cs="Arial"/>
          <w:b/>
          <w:bCs/>
          <w:sz w:val="24"/>
          <w:szCs w:val="24"/>
        </w:rPr>
      </w:pPr>
      <w:r w:rsidRPr="0062681D">
        <w:rPr>
          <w:rFonts w:ascii="Arial" w:hAnsi="Arial" w:cs="Arial"/>
          <w:b/>
          <w:bCs/>
          <w:sz w:val="24"/>
          <w:szCs w:val="24"/>
          <w:highlight w:val="yellow"/>
        </w:rPr>
        <w:t xml:space="preserve">Orientación al </w:t>
      </w:r>
      <w:r w:rsidR="00582AEA" w:rsidRPr="0062681D">
        <w:rPr>
          <w:rFonts w:ascii="Arial" w:hAnsi="Arial" w:cs="Arial"/>
          <w:b/>
          <w:bCs/>
          <w:i/>
          <w:sz w:val="24"/>
          <w:szCs w:val="24"/>
          <w:highlight w:val="yellow"/>
        </w:rPr>
        <w:t>statu quo</w:t>
      </w:r>
      <w:r w:rsidR="00582AEA" w:rsidRPr="006C18D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F6B36" w:rsidRDefault="009F6B36" w:rsidP="008214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la empresa utiliza esta orientación para asignar precios</w:t>
      </w:r>
      <w:r w:rsidR="00326C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que hace es </w:t>
      </w:r>
      <w:r w:rsidRPr="0024288A">
        <w:rPr>
          <w:rFonts w:ascii="Arial" w:hAnsi="Arial" w:cs="Arial"/>
          <w:sz w:val="24"/>
          <w:szCs w:val="24"/>
        </w:rPr>
        <w:t xml:space="preserve">mantener los precios existentes o igualarlos </w:t>
      </w:r>
      <w:r>
        <w:rPr>
          <w:rFonts w:ascii="Arial" w:hAnsi="Arial" w:cs="Arial"/>
          <w:sz w:val="24"/>
          <w:szCs w:val="24"/>
        </w:rPr>
        <w:t>con</w:t>
      </w:r>
      <w:r w:rsidRPr="0024288A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precios de los </w:t>
      </w:r>
      <w:r w:rsidRPr="0024288A">
        <w:rPr>
          <w:rFonts w:ascii="Arial" w:hAnsi="Arial" w:cs="Arial"/>
          <w:sz w:val="24"/>
          <w:szCs w:val="24"/>
        </w:rPr>
        <w:t>competidores</w:t>
      </w:r>
      <w:r>
        <w:rPr>
          <w:rFonts w:ascii="Arial" w:hAnsi="Arial" w:cs="Arial"/>
          <w:sz w:val="24"/>
          <w:szCs w:val="24"/>
        </w:rPr>
        <w:t xml:space="preserve">. Este objetivo casi siempre se utiliza cuando existe </w:t>
      </w:r>
      <w:r w:rsidR="00326C25">
        <w:rPr>
          <w:rFonts w:ascii="Arial" w:hAnsi="Arial" w:cs="Arial"/>
          <w:sz w:val="24"/>
          <w:szCs w:val="24"/>
        </w:rPr>
        <w:t>en el mercado una empresa líder.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212D" w:rsidRDefault="009F6B36" w:rsidP="00C636A7">
      <w:pPr>
        <w:jc w:val="both"/>
      </w:pPr>
      <w:r>
        <w:rPr>
          <w:rFonts w:ascii="Arial" w:hAnsi="Arial" w:cs="Arial"/>
          <w:sz w:val="24"/>
          <w:szCs w:val="24"/>
        </w:rPr>
        <w:t xml:space="preserve">Entre las características de esta orientación </w:t>
      </w:r>
      <w:r w:rsidR="00326C25">
        <w:rPr>
          <w:rFonts w:ascii="Arial" w:hAnsi="Arial" w:cs="Arial"/>
          <w:sz w:val="24"/>
          <w:szCs w:val="24"/>
        </w:rPr>
        <w:t>se encuentra</w:t>
      </w:r>
      <w:r>
        <w:rPr>
          <w:rFonts w:ascii="Arial" w:hAnsi="Arial" w:cs="Arial"/>
          <w:sz w:val="24"/>
          <w:szCs w:val="24"/>
        </w:rPr>
        <w:t xml:space="preserve"> que es una p</w:t>
      </w:r>
      <w:r w:rsidRPr="0024288A">
        <w:rPr>
          <w:rFonts w:ascii="Arial" w:hAnsi="Arial" w:cs="Arial"/>
          <w:sz w:val="24"/>
          <w:szCs w:val="24"/>
        </w:rPr>
        <w:t>olítica pasiva</w:t>
      </w:r>
      <w:r w:rsidR="00326C25">
        <w:rPr>
          <w:rFonts w:ascii="Arial" w:hAnsi="Arial" w:cs="Arial"/>
          <w:sz w:val="24"/>
          <w:szCs w:val="24"/>
        </w:rPr>
        <w:t xml:space="preserve"> y que puede</w:t>
      </w:r>
      <w:r>
        <w:rPr>
          <w:rFonts w:ascii="Arial" w:hAnsi="Arial" w:cs="Arial"/>
          <w:sz w:val="24"/>
          <w:szCs w:val="24"/>
        </w:rPr>
        <w:t xml:space="preserve"> dar </w:t>
      </w:r>
      <w:r w:rsidRPr="0024288A">
        <w:rPr>
          <w:rFonts w:ascii="Arial" w:hAnsi="Arial" w:cs="Arial"/>
          <w:sz w:val="24"/>
          <w:szCs w:val="24"/>
        </w:rPr>
        <w:t>resultados poco óptimos porque se ignora la demanda, los costos</w:t>
      </w:r>
      <w:r>
        <w:rPr>
          <w:rFonts w:ascii="Arial" w:hAnsi="Arial" w:cs="Arial"/>
          <w:sz w:val="24"/>
          <w:szCs w:val="24"/>
        </w:rPr>
        <w:t xml:space="preserve"> y </w:t>
      </w:r>
      <w:r w:rsidRPr="0024288A">
        <w:rPr>
          <w:rFonts w:ascii="Arial" w:hAnsi="Arial" w:cs="Arial"/>
          <w:sz w:val="24"/>
          <w:szCs w:val="24"/>
        </w:rPr>
        <w:t>el valor percibido de la empresa</w:t>
      </w:r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2E2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36"/>
    <w:rsid w:val="0003019A"/>
    <w:rsid w:val="000679BB"/>
    <w:rsid w:val="000A5978"/>
    <w:rsid w:val="001D43B5"/>
    <w:rsid w:val="002E212D"/>
    <w:rsid w:val="00326C25"/>
    <w:rsid w:val="004545DF"/>
    <w:rsid w:val="005275DD"/>
    <w:rsid w:val="00582AEA"/>
    <w:rsid w:val="0062681D"/>
    <w:rsid w:val="00691255"/>
    <w:rsid w:val="006F0230"/>
    <w:rsid w:val="008214B8"/>
    <w:rsid w:val="0083538F"/>
    <w:rsid w:val="00836047"/>
    <w:rsid w:val="008B49BB"/>
    <w:rsid w:val="0091612F"/>
    <w:rsid w:val="009750AE"/>
    <w:rsid w:val="009D2FFB"/>
    <w:rsid w:val="009F6B36"/>
    <w:rsid w:val="00A0562F"/>
    <w:rsid w:val="00A32D18"/>
    <w:rsid w:val="00C636A7"/>
    <w:rsid w:val="00C85D0E"/>
    <w:rsid w:val="00C9200F"/>
    <w:rsid w:val="00DE5CD5"/>
    <w:rsid w:val="00E533B7"/>
    <w:rsid w:val="00F1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80D0"/>
  <w15:chartTrackingRefBased/>
  <w15:docId w15:val="{E5C32B93-A795-48AA-AAC4-76A7BB2D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B3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B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2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93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27</cp:revision>
  <dcterms:created xsi:type="dcterms:W3CDTF">2020-07-03T05:07:00Z</dcterms:created>
  <dcterms:modified xsi:type="dcterms:W3CDTF">2020-12-16T23:13:00Z</dcterms:modified>
</cp:coreProperties>
</file>