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79" w:rsidRPr="00AA556D" w:rsidRDefault="00A57C79" w:rsidP="00A57C79">
      <w:pPr>
        <w:jc w:val="center"/>
        <w:rPr>
          <w:rFonts w:cs="Arial"/>
          <w:b/>
          <w:szCs w:val="24"/>
          <w:shd w:val="clear" w:color="auto" w:fill="FFFFFF"/>
        </w:rPr>
      </w:pPr>
      <w:r w:rsidRPr="00AA556D">
        <w:rPr>
          <w:rFonts w:cs="Arial"/>
          <w:b/>
          <w:szCs w:val="24"/>
          <w:shd w:val="clear" w:color="auto" w:fill="FFFFFF"/>
        </w:rPr>
        <w:t>Principios de la planeación</w:t>
      </w:r>
    </w:p>
    <w:p w:rsidR="00A57C79" w:rsidRPr="00AA556D" w:rsidRDefault="00A57C79" w:rsidP="00A57C79">
      <w:pPr>
        <w:rPr>
          <w:rFonts w:cs="Arial"/>
          <w:szCs w:val="24"/>
          <w:shd w:val="clear" w:color="auto" w:fill="FFFFFF"/>
        </w:rPr>
      </w:pPr>
    </w:p>
    <w:p w:rsidR="00A57C79" w:rsidRPr="00AA556D" w:rsidRDefault="00A57C79" w:rsidP="00A57C79">
      <w:pPr>
        <w:rPr>
          <w:rFonts w:cs="Arial"/>
          <w:szCs w:val="24"/>
          <w:shd w:val="clear" w:color="auto" w:fill="FFFFFF"/>
        </w:rPr>
      </w:pPr>
      <w:r w:rsidRPr="00AA556D">
        <w:rPr>
          <w:rFonts w:cs="Arial"/>
          <w:b/>
          <w:szCs w:val="24"/>
          <w:shd w:val="clear" w:color="auto" w:fill="FFFFFF"/>
        </w:rPr>
        <w:t>Instrucción:</w:t>
      </w:r>
      <w:r w:rsidRPr="00AA556D">
        <w:rPr>
          <w:rFonts w:cs="Arial"/>
          <w:szCs w:val="24"/>
          <w:shd w:val="clear" w:color="auto" w:fill="FFFFFF"/>
        </w:rPr>
        <w:t xml:space="preserve"> realizar acordeón de dos títulos, va texto con imagen o vector, va título + introducción + instrucción.</w:t>
      </w:r>
    </w:p>
    <w:p w:rsidR="00A57C79" w:rsidRPr="00AA556D" w:rsidRDefault="00A57C79" w:rsidP="00A57C79">
      <w:pPr>
        <w:rPr>
          <w:rFonts w:cs="Arial"/>
          <w:szCs w:val="24"/>
          <w:shd w:val="clear" w:color="auto" w:fill="FFFFFF"/>
        </w:rPr>
      </w:pPr>
    </w:p>
    <w:p w:rsidR="00A57C79" w:rsidRPr="00AA556D" w:rsidRDefault="00A57C79" w:rsidP="00A57C79">
      <w:pPr>
        <w:rPr>
          <w:rFonts w:cs="Arial"/>
          <w:szCs w:val="24"/>
          <w:shd w:val="clear" w:color="auto" w:fill="FFFFFF"/>
        </w:rPr>
      </w:pPr>
      <w:r w:rsidRPr="00AA556D">
        <w:rPr>
          <w:rFonts w:cs="Arial"/>
          <w:szCs w:val="24"/>
          <w:shd w:val="clear" w:color="auto" w:fill="FFFFFF"/>
        </w:rPr>
        <w:t xml:space="preserve"> </w:t>
      </w:r>
    </w:p>
    <w:p w:rsidR="00144A1E" w:rsidRDefault="00A57C79" w:rsidP="00A57C79">
      <w:pPr>
        <w:rPr>
          <w:rFonts w:cs="Arial"/>
          <w:b/>
          <w:lang w:val="es-ES_tradnl"/>
        </w:rPr>
      </w:pPr>
      <w:r w:rsidRPr="00AA556D">
        <w:rPr>
          <w:rFonts w:cs="Arial"/>
          <w:b/>
          <w:szCs w:val="24"/>
          <w:shd w:val="clear" w:color="auto" w:fill="FFFFFF"/>
        </w:rPr>
        <w:t>L</w:t>
      </w:r>
      <w:r w:rsidRPr="00AA556D">
        <w:rPr>
          <w:rFonts w:cs="Arial"/>
          <w:b/>
          <w:szCs w:val="24"/>
          <w:shd w:val="clear" w:color="auto" w:fill="FFFFFF"/>
        </w:rPr>
        <w:t xml:space="preserve">os principios constituyen un eje fundamental en el ejercicio del poder, de tal manera y como lo señala </w:t>
      </w:r>
      <w:r w:rsidRPr="00AA556D">
        <w:rPr>
          <w:rFonts w:cs="Arial"/>
          <w:b/>
          <w:lang w:val="es-ES_tradnl"/>
        </w:rPr>
        <w:t>la sentencia C-818 del 9 de agosto de 2005 (Corte Constitucional) los principios hacen parte del ordenamiento jurídico y constituyen la base que orienta y regula la actuación de los servidores públicos, con el fin de hacer efectivos los fines del Estado.</w:t>
      </w:r>
    </w:p>
    <w:p w:rsidR="00144A1E" w:rsidRDefault="00144A1E" w:rsidP="00A57C79">
      <w:pPr>
        <w:rPr>
          <w:rFonts w:cs="Arial"/>
          <w:b/>
          <w:lang w:val="es-ES_tradnl"/>
        </w:rPr>
      </w:pPr>
    </w:p>
    <w:p w:rsidR="00A57C79" w:rsidRPr="00144A1E" w:rsidRDefault="00144A1E" w:rsidP="00144A1E">
      <w:pPr>
        <w:jc w:val="center"/>
        <w:rPr>
          <w:rFonts w:cs="Arial"/>
          <w:b/>
          <w:color w:val="4472C4" w:themeColor="accent5"/>
          <w:lang w:val="es-ES_tradnl"/>
        </w:rPr>
      </w:pPr>
      <w:r w:rsidRPr="00144A1E">
        <w:rPr>
          <w:rFonts w:cs="Arial"/>
          <w:b/>
          <w:color w:val="4472C4" w:themeColor="accent5"/>
          <w:lang w:val="es-ES_tradnl"/>
        </w:rPr>
        <w:t>Para conocer más haga clic en cada título:</w:t>
      </w:r>
    </w:p>
    <w:p w:rsidR="00A57C79" w:rsidRPr="00AA556D" w:rsidRDefault="00A57C79" w:rsidP="00A57C79">
      <w:pPr>
        <w:rPr>
          <w:rFonts w:cs="Arial"/>
          <w:lang w:val="es-ES_tradnl"/>
        </w:rPr>
      </w:pPr>
    </w:p>
    <w:p w:rsidR="00A57C79" w:rsidRPr="007F2E36" w:rsidRDefault="00A57C79" w:rsidP="00A57C79">
      <w:pPr>
        <w:rPr>
          <w:rFonts w:cs="Arial"/>
          <w:b/>
          <w:sz w:val="20"/>
          <w:lang w:val="es-MX"/>
        </w:rPr>
      </w:pPr>
      <w:r w:rsidRPr="00AA556D">
        <w:rPr>
          <w:rFonts w:cs="Arial"/>
          <w:b/>
          <w:lang w:val="es-ES_tradnl"/>
        </w:rPr>
        <w:t>¿Qué son los principios?</w:t>
      </w:r>
      <w:r w:rsidR="007F2E36">
        <w:rPr>
          <w:rFonts w:cs="Arial"/>
          <w:b/>
          <w:lang w:val="es-ES_tradnl"/>
        </w:rPr>
        <w:t xml:space="preserve"> (</w:t>
      </w:r>
      <w:r w:rsidR="007F2E36" w:rsidRPr="007F2E36">
        <w:rPr>
          <w:rFonts w:cs="Arial"/>
          <w:b/>
          <w:highlight w:val="yellow"/>
          <w:lang w:val="es-ES_tradnl"/>
        </w:rPr>
        <w:t>ING_38192_46656)</w:t>
      </w:r>
    </w:p>
    <w:p w:rsidR="00A57C79" w:rsidRPr="00AA556D" w:rsidRDefault="00A57C79" w:rsidP="00A57C79">
      <w:pPr>
        <w:rPr>
          <w:rFonts w:cs="Arial"/>
          <w:szCs w:val="24"/>
          <w:shd w:val="clear" w:color="auto" w:fill="FFFFFF"/>
        </w:rPr>
      </w:pPr>
    </w:p>
    <w:p w:rsidR="00A57C79" w:rsidRPr="00AA556D" w:rsidRDefault="00A57C79" w:rsidP="00A57C79">
      <w:pPr>
        <w:rPr>
          <w:rFonts w:cs="Arial"/>
          <w:szCs w:val="24"/>
          <w:shd w:val="clear" w:color="auto" w:fill="FFFFFF"/>
          <w:lang w:val="es-ES"/>
        </w:rPr>
      </w:pPr>
      <w:r w:rsidRPr="00AA556D">
        <w:rPr>
          <w:rFonts w:cs="Arial"/>
          <w:szCs w:val="24"/>
          <w:shd w:val="clear" w:color="auto" w:fill="FFFFFF"/>
        </w:rPr>
        <w:t>Se entiende por principios, aquellas prescripciones que contienen directrices generales que delimitan el alcance axiológico y político de un determinado orden jurídico; son verdaderas normas jurídicas y forman parte integral del ordenamiento jurídico</w:t>
      </w:r>
      <w:r w:rsidRPr="00AA556D">
        <w:rPr>
          <w:rFonts w:cs="Arial"/>
          <w:szCs w:val="24"/>
          <w:shd w:val="clear" w:color="auto" w:fill="FFFFFF"/>
        </w:rPr>
        <w:t>.</w:t>
      </w:r>
      <w:r w:rsidRPr="00AA556D">
        <w:rPr>
          <w:rFonts w:cs="Arial"/>
          <w:szCs w:val="24"/>
          <w:shd w:val="clear" w:color="auto" w:fill="FFFFFF"/>
        </w:rPr>
        <w:t xml:space="preserve"> </w:t>
      </w:r>
      <w:r w:rsidRPr="00AA556D">
        <w:rPr>
          <w:rFonts w:cs="Arial"/>
          <w:szCs w:val="24"/>
          <w:shd w:val="clear" w:color="auto" w:fill="FFFFFF"/>
          <w:lang w:val="pt-BR"/>
        </w:rPr>
        <w:t>(Corte Constitucional, Sentencia C- 574 de 1992, M.</w:t>
      </w:r>
      <w:r w:rsidRPr="00AA556D">
        <w:rPr>
          <w:rFonts w:cs="Arial"/>
          <w:szCs w:val="24"/>
          <w:shd w:val="clear" w:color="auto" w:fill="FFFFFF"/>
          <w:lang w:val="pt-BR"/>
        </w:rPr>
        <w:t xml:space="preserve"> </w:t>
      </w:r>
      <w:r w:rsidRPr="00AA556D">
        <w:rPr>
          <w:rFonts w:cs="Arial"/>
          <w:szCs w:val="24"/>
          <w:shd w:val="clear" w:color="auto" w:fill="FFFFFF"/>
          <w:lang w:val="pt-BR"/>
        </w:rPr>
        <w:t>P. Ciro Angarita Barón).</w:t>
      </w:r>
      <w:r w:rsidRPr="00AA556D">
        <w:rPr>
          <w:rFonts w:cs="Arial"/>
          <w:szCs w:val="24"/>
          <w:shd w:val="clear" w:color="auto" w:fill="FFFFFF"/>
        </w:rPr>
        <w:t xml:space="preserve"> </w:t>
      </w:r>
    </w:p>
    <w:p w:rsidR="00A57C79" w:rsidRPr="00AA556D" w:rsidRDefault="00A57C79" w:rsidP="00A57C79">
      <w:pPr>
        <w:rPr>
          <w:rFonts w:cs="Arial"/>
          <w:szCs w:val="24"/>
          <w:shd w:val="clear" w:color="auto" w:fill="FFFFFF"/>
          <w:lang w:val="es-ES"/>
        </w:rPr>
      </w:pPr>
    </w:p>
    <w:p w:rsidR="00A57C79" w:rsidRPr="00AA556D" w:rsidRDefault="00A57C79" w:rsidP="00A57C79">
      <w:pPr>
        <w:rPr>
          <w:rFonts w:cs="Arial"/>
          <w:szCs w:val="24"/>
          <w:shd w:val="clear" w:color="auto" w:fill="FFFFFF"/>
        </w:rPr>
      </w:pPr>
    </w:p>
    <w:p w:rsidR="00A57C79" w:rsidRPr="00AA556D" w:rsidRDefault="00A57C79" w:rsidP="00A57C79">
      <w:pPr>
        <w:rPr>
          <w:rFonts w:cs="Arial"/>
          <w:b/>
          <w:szCs w:val="24"/>
          <w:shd w:val="clear" w:color="auto" w:fill="FFFFFF"/>
        </w:rPr>
      </w:pPr>
      <w:r w:rsidRPr="00AA556D">
        <w:rPr>
          <w:rFonts w:cs="Arial"/>
          <w:b/>
          <w:szCs w:val="24"/>
          <w:shd w:val="clear" w:color="auto" w:fill="FFFFFF"/>
        </w:rPr>
        <w:t>Principios</w:t>
      </w:r>
      <w:r w:rsidR="00841A15">
        <w:rPr>
          <w:rFonts w:cs="Arial"/>
          <w:b/>
          <w:szCs w:val="24"/>
          <w:shd w:val="clear" w:color="auto" w:fill="FFFFFF"/>
        </w:rPr>
        <w:t xml:space="preserve"> </w:t>
      </w:r>
      <w:bookmarkStart w:id="0" w:name="_GoBack"/>
      <w:bookmarkEnd w:id="0"/>
      <w:r w:rsidR="00841A15" w:rsidRPr="00841A15">
        <w:rPr>
          <w:rFonts w:cs="Arial"/>
          <w:b/>
          <w:szCs w:val="24"/>
          <w:highlight w:val="yellow"/>
          <w:shd w:val="clear" w:color="auto" w:fill="FFFFFF"/>
        </w:rPr>
        <w:t>(ISS_15187_07876)</w:t>
      </w:r>
    </w:p>
    <w:p w:rsidR="00A57C79" w:rsidRPr="00AA556D" w:rsidRDefault="00A57C79" w:rsidP="00A57C79">
      <w:pPr>
        <w:rPr>
          <w:rFonts w:cs="Arial"/>
          <w:szCs w:val="24"/>
          <w:shd w:val="clear" w:color="auto" w:fill="FFFFFF"/>
        </w:rPr>
      </w:pPr>
    </w:p>
    <w:p w:rsidR="00A57C79" w:rsidRPr="00AA556D" w:rsidRDefault="00A57C79" w:rsidP="00A57C79">
      <w:pPr>
        <w:rPr>
          <w:rFonts w:cs="Arial"/>
          <w:szCs w:val="24"/>
          <w:shd w:val="clear" w:color="auto" w:fill="FFFFFF"/>
        </w:rPr>
      </w:pPr>
      <w:r w:rsidRPr="00AA556D">
        <w:rPr>
          <w:rFonts w:cs="Arial"/>
          <w:szCs w:val="24"/>
          <w:shd w:val="clear" w:color="auto" w:fill="FFFFFF"/>
        </w:rPr>
        <w:t>L</w:t>
      </w:r>
      <w:r w:rsidRPr="00AA556D">
        <w:rPr>
          <w:rFonts w:cs="Arial"/>
          <w:szCs w:val="24"/>
          <w:shd w:val="clear" w:color="auto" w:fill="FFFFFF"/>
        </w:rPr>
        <w:t>a Ley Orgánica del Plan de Desarrollo, en su artículo 3</w:t>
      </w:r>
      <w:r w:rsidRPr="00AA556D">
        <w:rPr>
          <w:rFonts w:cs="Arial"/>
          <w:szCs w:val="24"/>
          <w:shd w:val="clear" w:color="auto" w:fill="FFFFFF"/>
        </w:rPr>
        <w:t>,</w:t>
      </w:r>
      <w:r w:rsidRPr="00AA556D">
        <w:rPr>
          <w:rFonts w:cs="Arial"/>
          <w:szCs w:val="24"/>
          <w:shd w:val="clear" w:color="auto" w:fill="FFFFFF"/>
        </w:rPr>
        <w:t xml:space="preserve"> consagra una serie de principios que rigen las actuaciones </w:t>
      </w:r>
      <w:r w:rsidRPr="00AA556D">
        <w:t xml:space="preserve">de las autoridades nacionales, regionales y territoriales, en materia de planeación a saber: </w:t>
      </w:r>
    </w:p>
    <w:p w:rsidR="00A57C79" w:rsidRPr="00AA556D" w:rsidRDefault="00A57C79" w:rsidP="00A57C79"/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 xml:space="preserve">Autonomía. </w:t>
      </w:r>
    </w:p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 xml:space="preserve">Ordenación de competencias. </w:t>
      </w:r>
    </w:p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 xml:space="preserve">Coordinación. </w:t>
      </w:r>
    </w:p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 xml:space="preserve">Consistencia. </w:t>
      </w:r>
    </w:p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>Prioridad del g</w:t>
      </w:r>
      <w:r w:rsidRPr="00AA556D">
        <w:t xml:space="preserve">asto </w:t>
      </w:r>
      <w:r w:rsidRPr="00AA556D">
        <w:t>p</w:t>
      </w:r>
      <w:r w:rsidRPr="00AA556D">
        <w:t xml:space="preserve">úblico </w:t>
      </w:r>
      <w:r w:rsidRPr="00AA556D">
        <w:t>s</w:t>
      </w:r>
      <w:r w:rsidRPr="00AA556D">
        <w:t>ocial</w:t>
      </w:r>
    </w:p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 xml:space="preserve">Continuidad. </w:t>
      </w:r>
    </w:p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 xml:space="preserve">Participación. </w:t>
      </w:r>
    </w:p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>Sustentabili</w:t>
      </w:r>
      <w:r w:rsidRPr="00AA556D">
        <w:t>dad a</w:t>
      </w:r>
      <w:r w:rsidRPr="00AA556D">
        <w:t xml:space="preserve">mbiental. </w:t>
      </w:r>
    </w:p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>Desarrollo armónico de las regiones</w:t>
      </w:r>
      <w:r w:rsidRPr="00AA556D">
        <w:t>.</w:t>
      </w:r>
      <w:r w:rsidRPr="00AA556D">
        <w:t xml:space="preserve"> </w:t>
      </w:r>
    </w:p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>Proceso de planeación.</w:t>
      </w:r>
    </w:p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 xml:space="preserve">Eficiencia. </w:t>
      </w:r>
    </w:p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>Viabilidad.</w:t>
      </w:r>
    </w:p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 xml:space="preserve">Coherencia. </w:t>
      </w:r>
    </w:p>
    <w:p w:rsidR="00A57C79" w:rsidRPr="00AA556D" w:rsidRDefault="00A57C79" w:rsidP="00A57C79">
      <w:pPr>
        <w:pStyle w:val="Prrafodelista"/>
        <w:numPr>
          <w:ilvl w:val="0"/>
          <w:numId w:val="2"/>
        </w:numPr>
      </w:pPr>
      <w:r w:rsidRPr="00AA556D">
        <w:t xml:space="preserve">Conformación de los planes de desarrollo. </w:t>
      </w:r>
    </w:p>
    <w:p w:rsidR="00A57C79" w:rsidRPr="00AA556D" w:rsidRDefault="00A57C79" w:rsidP="00A57C79"/>
    <w:p w:rsidR="00A57C79" w:rsidRPr="00AA556D" w:rsidRDefault="00A57C79" w:rsidP="00A57C79">
      <w:pPr>
        <w:rPr>
          <w:rFonts w:cs="Arial"/>
          <w:szCs w:val="24"/>
          <w:shd w:val="clear" w:color="auto" w:fill="FFFFFF"/>
        </w:rPr>
      </w:pPr>
    </w:p>
    <w:p w:rsidR="002E212D" w:rsidRPr="00AA556D" w:rsidRDefault="002E212D"/>
    <w:sectPr w:rsidR="002E212D" w:rsidRPr="00AA5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B0E78"/>
    <w:multiLevelType w:val="hybridMultilevel"/>
    <w:tmpl w:val="79262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315A0"/>
    <w:multiLevelType w:val="hybridMultilevel"/>
    <w:tmpl w:val="900476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79"/>
    <w:rsid w:val="00144A1E"/>
    <w:rsid w:val="002E212D"/>
    <w:rsid w:val="007F2E36"/>
    <w:rsid w:val="00841A15"/>
    <w:rsid w:val="00A57C79"/>
    <w:rsid w:val="00A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30AA"/>
  <w15:chartTrackingRefBased/>
  <w15:docId w15:val="{41A3114C-4C60-4CC6-818F-81A41E6E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C7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C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7C7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57C79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7C79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4102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9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843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28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Cor19</b:Tag>
    <b:SourceType>InternetSite</b:SourceType>
    <b:Guid>{873CC5E7-D7F3-4758-A53F-7C00E28ECBB0}</b:Guid>
    <b:Author>
      <b:Author>
        <b:Corporate>Corte Constitucional Sentencia  C-818 del 9 agosto de 2005</b:Corporate>
      </b:Author>
    </b:Author>
    <b:Title>Corte Constitucional</b:Title>
    <b:Year>2019</b:Year>
    <b:Month>07</b:Month>
    <b:Day>15</b:Day>
    <b:URL>http://www.corteconstitucional.gov.co/relatoria/2005/C-818-05.htm</b:URL>
    <b:RefOrder>9</b:RefOrder>
  </b:Source>
</b:Sources>
</file>

<file path=customXml/itemProps1.xml><?xml version="1.0" encoding="utf-8"?>
<ds:datastoreItem xmlns:ds="http://schemas.openxmlformats.org/officeDocument/2006/customXml" ds:itemID="{D7150100-1156-45C7-A0A0-A6A72F1B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1253</Characters>
  <Application>Microsoft Office Word</Application>
  <DocSecurity>0</DocSecurity>
  <Lines>20</Lines>
  <Paragraphs>5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5</cp:revision>
  <dcterms:created xsi:type="dcterms:W3CDTF">2020-03-31T16:01:00Z</dcterms:created>
  <dcterms:modified xsi:type="dcterms:W3CDTF">2020-03-31T16:19:00Z</dcterms:modified>
</cp:coreProperties>
</file>