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55" w:rsidRPr="00880455" w:rsidRDefault="00880455" w:rsidP="00880455">
      <w:pPr>
        <w:autoSpaceDE w:val="0"/>
        <w:autoSpaceDN w:val="0"/>
        <w:adjustRightInd w:val="0"/>
        <w:jc w:val="center"/>
        <w:rPr>
          <w:rFonts w:eastAsiaTheme="minorHAnsi" w:cs="Arial"/>
          <w:b/>
        </w:rPr>
      </w:pPr>
      <w:r w:rsidRPr="00880455">
        <w:rPr>
          <w:rFonts w:eastAsiaTheme="minorHAnsi" w:cs="Arial"/>
          <w:b/>
        </w:rPr>
        <w:t>Principios de la contabilidad pública</w:t>
      </w:r>
    </w:p>
    <w:p w:rsidR="00880455" w:rsidRPr="00760C91" w:rsidRDefault="00880455" w:rsidP="00880455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  <w:color w:val="FF0000"/>
        </w:rPr>
      </w:pPr>
    </w:p>
    <w:p w:rsidR="00880455" w:rsidRDefault="00880455" w:rsidP="00880455">
      <w:pPr>
        <w:autoSpaceDE w:val="0"/>
        <w:autoSpaceDN w:val="0"/>
        <w:adjustRightInd w:val="0"/>
        <w:rPr>
          <w:rFonts w:eastAsiaTheme="minorHAnsi" w:cs="Arial"/>
        </w:rPr>
      </w:pPr>
      <w:r w:rsidRPr="00760C91">
        <w:rPr>
          <w:rFonts w:eastAsiaTheme="minorHAnsi" w:cs="Arial"/>
          <w:b/>
          <w:color w:val="FF0000"/>
        </w:rPr>
        <w:t>Instrucción:</w:t>
      </w:r>
      <w:r w:rsidRPr="00760C91">
        <w:rPr>
          <w:rFonts w:eastAsiaTheme="minorHAnsi" w:cs="Arial"/>
          <w:color w:val="FF0000"/>
        </w:rPr>
        <w:t xml:space="preserve"> realizar interactividad de 10 secciones con la plantilla: </w:t>
      </w:r>
      <w:proofErr w:type="spellStart"/>
      <w:r w:rsidR="00760C91" w:rsidRPr="00760C91">
        <w:rPr>
          <w:rFonts w:eastAsiaTheme="minorHAnsi" w:cs="Arial"/>
          <w:color w:val="FF0000"/>
        </w:rPr>
        <w:t>Edge</w:t>
      </w:r>
      <w:proofErr w:type="spellEnd"/>
      <w:r w:rsidR="00760C91" w:rsidRPr="00760C91">
        <w:rPr>
          <w:rFonts w:eastAsiaTheme="minorHAnsi" w:cs="Arial"/>
          <w:color w:val="FF0000"/>
        </w:rPr>
        <w:t>/10 ítems/opción (cambiar colores porque ya hay otra</w:t>
      </w:r>
      <w:r w:rsidR="00B10F59">
        <w:rPr>
          <w:rFonts w:eastAsiaTheme="minorHAnsi" w:cs="Arial"/>
          <w:color w:val="FF0000"/>
        </w:rPr>
        <w:t xml:space="preserve"> </w:t>
      </w:r>
      <w:r w:rsidR="007776DC">
        <w:rPr>
          <w:rFonts w:eastAsiaTheme="minorHAnsi" w:cs="Arial"/>
          <w:color w:val="FF0000"/>
        </w:rPr>
        <w:t>interactividad</w:t>
      </w:r>
      <w:r w:rsidR="00760C91" w:rsidRPr="00760C91">
        <w:rPr>
          <w:rFonts w:eastAsiaTheme="minorHAnsi" w:cs="Arial"/>
          <w:color w:val="FF0000"/>
        </w:rPr>
        <w:t xml:space="preserve"> igual en esta misma unidad)</w:t>
      </w:r>
      <w:r w:rsidRPr="00760C91">
        <w:rPr>
          <w:rFonts w:eastAsiaTheme="minorHAnsi" w:cs="Arial"/>
          <w:color w:val="FF0000"/>
        </w:rPr>
        <w:t xml:space="preserve"> </w:t>
      </w:r>
      <w:r w:rsidR="005156B0">
        <w:rPr>
          <w:rFonts w:eastAsiaTheme="minorHAnsi" w:cs="Arial"/>
        </w:rPr>
        <w:t xml:space="preserve">va los nombres de cada principio y cuando se hace clic sobre el número se despliega el </w:t>
      </w:r>
      <w:r w:rsidR="009B7951">
        <w:rPr>
          <w:rFonts w:eastAsiaTheme="minorHAnsi" w:cs="Arial"/>
        </w:rPr>
        <w:t xml:space="preserve">contenido. </w:t>
      </w:r>
      <w:r w:rsidR="005156B0">
        <w:rPr>
          <w:rFonts w:eastAsiaTheme="minorHAnsi" w:cs="Arial"/>
        </w:rPr>
        <w:t>Va el título general + int</w:t>
      </w:r>
      <w:r w:rsidR="009B7951">
        <w:rPr>
          <w:rFonts w:eastAsiaTheme="minorHAnsi" w:cs="Arial"/>
        </w:rPr>
        <w:t>roducción + instrucción + la interactividad</w:t>
      </w:r>
      <w:r w:rsidR="005156B0">
        <w:rPr>
          <w:rFonts w:eastAsiaTheme="minorHAnsi" w:cs="Arial"/>
        </w:rPr>
        <w:t>.</w:t>
      </w:r>
      <w:r w:rsidR="001C1EEF">
        <w:rPr>
          <w:rFonts w:eastAsiaTheme="minorHAnsi" w:cs="Arial"/>
        </w:rPr>
        <w:t xml:space="preserve"> (</w:t>
      </w:r>
      <w:r w:rsidR="001C1EEF" w:rsidRPr="001C1EEF">
        <w:rPr>
          <w:rFonts w:eastAsiaTheme="minorHAnsi" w:cs="Arial"/>
          <w:highlight w:val="cyan"/>
        </w:rPr>
        <w:t>poner referencia al final del recurso)</w:t>
      </w:r>
    </w:p>
    <w:p w:rsidR="002E73BB" w:rsidRDefault="002E73BB" w:rsidP="00880455">
      <w:pPr>
        <w:autoSpaceDE w:val="0"/>
        <w:autoSpaceDN w:val="0"/>
        <w:adjustRightInd w:val="0"/>
        <w:rPr>
          <w:rFonts w:eastAsiaTheme="minorHAnsi" w:cs="Arial"/>
        </w:rPr>
      </w:pPr>
    </w:p>
    <w:p w:rsidR="002E73BB" w:rsidRDefault="002E73BB" w:rsidP="00880455">
      <w:pPr>
        <w:autoSpaceDE w:val="0"/>
        <w:autoSpaceDN w:val="0"/>
        <w:adjustRightInd w:val="0"/>
        <w:rPr>
          <w:rFonts w:eastAsiaTheme="minorHAnsi" w:cs="Arial"/>
        </w:rPr>
      </w:pPr>
      <w:bookmarkStart w:id="0" w:name="_GoBack"/>
      <w:bookmarkEnd w:id="0"/>
    </w:p>
    <w:p w:rsidR="005156B0" w:rsidRDefault="005156B0" w:rsidP="00880455">
      <w:pPr>
        <w:autoSpaceDE w:val="0"/>
        <w:autoSpaceDN w:val="0"/>
        <w:adjustRightInd w:val="0"/>
        <w:rPr>
          <w:rFonts w:eastAsiaTheme="minorHAnsi" w:cs="Arial"/>
        </w:rPr>
      </w:pPr>
    </w:p>
    <w:p w:rsidR="005156B0" w:rsidRPr="00880455" w:rsidRDefault="005156B0" w:rsidP="00880455">
      <w:pPr>
        <w:autoSpaceDE w:val="0"/>
        <w:autoSpaceDN w:val="0"/>
        <w:adjustRightInd w:val="0"/>
        <w:rPr>
          <w:rFonts w:eastAsiaTheme="minorHAnsi" w:cs="Arial"/>
          <w:lang w:val="es-MX"/>
        </w:rPr>
      </w:pPr>
      <w:r w:rsidRPr="001774D2">
        <w:rPr>
          <w:rFonts w:eastAsiaTheme="minorHAnsi" w:cs="Arial"/>
        </w:rPr>
        <w:t xml:space="preserve">El </w:t>
      </w:r>
      <w:r>
        <w:rPr>
          <w:rFonts w:eastAsiaTheme="minorHAnsi" w:cs="Arial"/>
        </w:rPr>
        <w:t>régimen</w:t>
      </w:r>
      <w:r w:rsidRPr="001774D2">
        <w:rPr>
          <w:rFonts w:eastAsiaTheme="minorHAnsi" w:cs="Arial"/>
        </w:rPr>
        <w:t xml:space="preserve"> de contabilidad pública </w:t>
      </w:r>
      <w:r>
        <w:rPr>
          <w:rFonts w:eastAsiaTheme="minorHAnsi" w:cs="Arial"/>
        </w:rPr>
        <w:t>consagra unos principios</w:t>
      </w:r>
      <w:r w:rsidRPr="001774D2">
        <w:rPr>
          <w:rFonts w:eastAsiaTheme="minorHAnsi" w:cs="Arial"/>
        </w:rPr>
        <w:t xml:space="preserve"> orientadores que constituyen </w:t>
      </w:r>
      <w:r>
        <w:rPr>
          <w:rFonts w:eastAsiaTheme="minorHAnsi" w:cs="Arial"/>
        </w:rPr>
        <w:t xml:space="preserve">unas premisas clave </w:t>
      </w:r>
      <w:r w:rsidRPr="001774D2">
        <w:rPr>
          <w:rFonts w:eastAsiaTheme="minorHAnsi" w:cs="Arial"/>
        </w:rPr>
        <w:t>para la generación de la información, sustentando el desarrollo de las normas técnicas, el manual de procedimientos y la doctrina contable pública</w:t>
      </w:r>
      <w:r>
        <w:rPr>
          <w:rFonts w:eastAsiaTheme="minorHAnsi" w:cs="Arial"/>
        </w:rPr>
        <w:t xml:space="preserve">. </w:t>
      </w:r>
      <w:r w:rsidRPr="005156B0">
        <w:rPr>
          <w:rFonts w:eastAsiaTheme="minorHAnsi" w:cs="Arial"/>
          <w:b/>
          <w:color w:val="4472C4" w:themeColor="accent5"/>
        </w:rPr>
        <w:t>Haga clic en los números para conocer los principios:</w:t>
      </w:r>
    </w:p>
    <w:p w:rsidR="00880455" w:rsidRPr="005156B0" w:rsidRDefault="00880455" w:rsidP="00880455">
      <w:pPr>
        <w:autoSpaceDE w:val="0"/>
        <w:autoSpaceDN w:val="0"/>
        <w:adjustRightInd w:val="0"/>
        <w:rPr>
          <w:rFonts w:eastAsiaTheme="minorHAnsi" w:cs="Arial"/>
          <w:lang w:val="es-MX"/>
        </w:rPr>
      </w:pPr>
    </w:p>
    <w:p w:rsidR="00880455" w:rsidRDefault="00880455" w:rsidP="00880455">
      <w:pPr>
        <w:autoSpaceDE w:val="0"/>
        <w:autoSpaceDN w:val="0"/>
        <w:adjustRightInd w:val="0"/>
        <w:rPr>
          <w:rFonts w:eastAsiaTheme="minorHAnsi" w:cs="Arial"/>
        </w:rPr>
      </w:pPr>
    </w:p>
    <w:p w:rsidR="00880455" w:rsidRDefault="00880455" w:rsidP="00880455">
      <w:pPr>
        <w:autoSpaceDE w:val="0"/>
        <w:autoSpaceDN w:val="0"/>
        <w:adjustRightInd w:val="0"/>
        <w:rPr>
          <w:rFonts w:eastAsiaTheme="minorHAnsi" w:cs="Arial"/>
        </w:rPr>
      </w:pPr>
    </w:p>
    <w:p w:rsidR="00880455" w:rsidRDefault="00880455" w:rsidP="00880455">
      <w:pPr>
        <w:autoSpaceDE w:val="0"/>
        <w:autoSpaceDN w:val="0"/>
        <w:adjustRightInd w:val="0"/>
        <w:jc w:val="center"/>
        <w:rPr>
          <w:rFonts w:eastAsiaTheme="minorHAnsi" w:cs="Arial"/>
        </w:rPr>
      </w:pPr>
      <w:r>
        <w:rPr>
          <w:noProof/>
          <w:lang w:val="en-US" w:eastAsia="en-US"/>
        </w:rPr>
        <w:drawing>
          <wp:inline distT="0" distB="0" distL="0" distR="0">
            <wp:extent cx="4152900" cy="2907030"/>
            <wp:effectExtent l="0" t="0" r="0" b="7620"/>
            <wp:docPr id="1" name="Imagen 1" descr="Circle infographic template with 10 steps or options, workflow or process diagram, vector eps10 illustration. 10 Steps - Circle Info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le infographic template with 10 steps or options, workflow or process diagram, vector eps10 illustration. 10 Steps - Circle Infographi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412" cy="290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55" w:rsidRDefault="00880455" w:rsidP="00880455">
      <w:pPr>
        <w:autoSpaceDE w:val="0"/>
        <w:autoSpaceDN w:val="0"/>
        <w:adjustRightInd w:val="0"/>
        <w:rPr>
          <w:rFonts w:eastAsiaTheme="minorHAnsi" w:cs="Arial"/>
        </w:rPr>
      </w:pPr>
    </w:p>
    <w:p w:rsidR="00880455" w:rsidRDefault="00880455" w:rsidP="00880455">
      <w:pPr>
        <w:autoSpaceDE w:val="0"/>
        <w:autoSpaceDN w:val="0"/>
        <w:adjustRightInd w:val="0"/>
        <w:rPr>
          <w:rFonts w:eastAsiaTheme="minorHAnsi" w:cs="Arial"/>
        </w:rPr>
      </w:pPr>
    </w:p>
    <w:p w:rsidR="00880455" w:rsidRPr="001774D2" w:rsidRDefault="00880455" w:rsidP="00880455">
      <w:pPr>
        <w:autoSpaceDE w:val="0"/>
        <w:autoSpaceDN w:val="0"/>
        <w:adjustRightInd w:val="0"/>
        <w:rPr>
          <w:rFonts w:eastAsiaTheme="minorHAnsi" w:cs="Arial"/>
        </w:rPr>
      </w:pPr>
      <w:r w:rsidRPr="001774D2">
        <w:rPr>
          <w:rFonts w:eastAsiaTheme="minorHAnsi" w:cs="Arial"/>
        </w:rPr>
        <w:t>:</w:t>
      </w:r>
    </w:p>
    <w:p w:rsidR="00880455" w:rsidRDefault="00880455" w:rsidP="00880455">
      <w:pPr>
        <w:autoSpaceDE w:val="0"/>
        <w:autoSpaceDN w:val="0"/>
        <w:adjustRightInd w:val="0"/>
        <w:rPr>
          <w:rFonts w:ascii="PalatinoLinotype-Roman" w:eastAsiaTheme="minorHAnsi" w:hAnsi="PalatinoLinotype-Roman" w:cs="PalatinoLinotype-Roman"/>
        </w:rPr>
      </w:pPr>
    </w:p>
    <w:tbl>
      <w:tblPr>
        <w:tblStyle w:val="Tablaconcuadrcula"/>
        <w:tblW w:w="0" w:type="auto"/>
        <w:tblBorders>
          <w:top w:val="single" w:sz="18" w:space="0" w:color="323E4F" w:themeColor="text2" w:themeShade="BF"/>
          <w:left w:val="single" w:sz="18" w:space="0" w:color="323E4F" w:themeColor="text2" w:themeShade="BF"/>
          <w:bottom w:val="single" w:sz="18" w:space="0" w:color="323E4F" w:themeColor="text2" w:themeShade="BF"/>
          <w:right w:val="single" w:sz="18" w:space="0" w:color="323E4F" w:themeColor="text2" w:themeShade="BF"/>
          <w:insideH w:val="single" w:sz="18" w:space="0" w:color="323E4F" w:themeColor="text2" w:themeShade="BF"/>
          <w:insideV w:val="single" w:sz="18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2375"/>
        <w:gridCol w:w="6417"/>
      </w:tblGrid>
      <w:tr w:rsidR="00880455" w:rsidRPr="008E3A76" w:rsidTr="009553BA">
        <w:tc>
          <w:tcPr>
            <w:tcW w:w="2376" w:type="dxa"/>
            <w:shd w:val="clear" w:color="auto" w:fill="FFFFEF"/>
            <w:vAlign w:val="center"/>
          </w:tcPr>
          <w:p w:rsidR="00880455" w:rsidRDefault="00E24664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G</w:t>
            </w:r>
            <w:r w:rsidRPr="00604C60">
              <w:rPr>
                <w:rFonts w:eastAsiaTheme="minorHAnsi" w:cs="Arial"/>
                <w:b/>
              </w:rPr>
              <w:t>estión continuada</w:t>
            </w:r>
          </w:p>
          <w:p w:rsidR="00C73CA3" w:rsidRPr="00604C60" w:rsidRDefault="00C73CA3" w:rsidP="00C73CA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 w:rsidRPr="00C73CA3">
              <w:rPr>
                <w:rFonts w:eastAsiaTheme="minorHAnsi" w:cs="Arial"/>
                <w:b/>
                <w:highlight w:val="yellow"/>
              </w:rPr>
              <w:t>(dejar calendario)</w:t>
            </w:r>
          </w:p>
        </w:tc>
        <w:tc>
          <w:tcPr>
            <w:tcW w:w="6602" w:type="dxa"/>
          </w:tcPr>
          <w:p w:rsidR="00880455" w:rsidRPr="008E3A76" w:rsidRDefault="00880455" w:rsidP="009553BA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</w:rPr>
            </w:pPr>
            <w:r w:rsidRPr="008E3A76">
              <w:rPr>
                <w:rFonts w:eastAsiaTheme="minorHAnsi" w:cs="Arial"/>
                <w:sz w:val="20"/>
              </w:rPr>
              <w:t>Se presume que la actividad de la entidad contable</w:t>
            </w:r>
            <w:r>
              <w:rPr>
                <w:rFonts w:eastAsiaTheme="minorHAnsi" w:cs="Arial"/>
                <w:sz w:val="20"/>
              </w:rPr>
              <w:t xml:space="preserve"> </w:t>
            </w:r>
            <w:r w:rsidRPr="008E3A76">
              <w:rPr>
                <w:rFonts w:eastAsiaTheme="minorHAnsi" w:cs="Arial"/>
                <w:sz w:val="20"/>
              </w:rPr>
              <w:t>pública se lleva a cabo por tiempo indefini</w:t>
            </w:r>
            <w:r>
              <w:rPr>
                <w:rFonts w:eastAsiaTheme="minorHAnsi" w:cs="Arial"/>
                <w:sz w:val="20"/>
              </w:rPr>
              <w:t xml:space="preserve">do, conforme a la ley o acto de </w:t>
            </w:r>
            <w:r w:rsidRPr="008E3A76">
              <w:rPr>
                <w:rFonts w:eastAsiaTheme="minorHAnsi" w:cs="Arial"/>
                <w:sz w:val="20"/>
              </w:rPr>
              <w:t>creación. Por tal razón, la aplicación del Rég</w:t>
            </w:r>
            <w:r>
              <w:rPr>
                <w:rFonts w:eastAsiaTheme="minorHAnsi" w:cs="Arial"/>
                <w:sz w:val="20"/>
              </w:rPr>
              <w:t xml:space="preserve">imen de Contabilidad Pública no </w:t>
            </w:r>
            <w:r w:rsidRPr="008E3A76">
              <w:rPr>
                <w:rFonts w:eastAsiaTheme="minorHAnsi" w:cs="Arial"/>
                <w:sz w:val="20"/>
              </w:rPr>
              <w:t>está encaminada a determinar su valor de liquidación.</w:t>
            </w:r>
          </w:p>
        </w:tc>
      </w:tr>
      <w:tr w:rsidR="00880455" w:rsidRPr="008E3A76" w:rsidTr="009553BA">
        <w:tc>
          <w:tcPr>
            <w:tcW w:w="2376" w:type="dxa"/>
            <w:shd w:val="clear" w:color="auto" w:fill="FFFFEF"/>
            <w:vAlign w:val="center"/>
          </w:tcPr>
          <w:p w:rsidR="00880455" w:rsidRDefault="00E24664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R</w:t>
            </w:r>
            <w:r w:rsidRPr="00604C60">
              <w:rPr>
                <w:rFonts w:eastAsiaTheme="minorHAnsi" w:cs="Arial"/>
                <w:b/>
              </w:rPr>
              <w:t>egistro</w:t>
            </w:r>
          </w:p>
          <w:p w:rsidR="004B50DE" w:rsidRPr="00604C60" w:rsidRDefault="004B50DE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(</w:t>
            </w:r>
            <w:r w:rsidRPr="004B50DE">
              <w:rPr>
                <w:rFonts w:eastAsiaTheme="minorHAnsi" w:cs="Arial"/>
                <w:b/>
                <w:highlight w:val="yellow"/>
              </w:rPr>
              <w:t xml:space="preserve">poner hoja </w:t>
            </w:r>
            <w:proofErr w:type="spellStart"/>
            <w:r w:rsidRPr="004B50DE">
              <w:rPr>
                <w:rFonts w:eastAsiaTheme="minorHAnsi" w:cs="Arial"/>
                <w:b/>
                <w:highlight w:val="yellow"/>
              </w:rPr>
              <w:t>check</w:t>
            </w:r>
            <w:proofErr w:type="spellEnd"/>
            <w:r w:rsidRPr="004B50DE">
              <w:rPr>
                <w:rFonts w:eastAsiaTheme="minorHAnsi" w:cs="Arial"/>
                <w:b/>
                <w:highlight w:val="yellow"/>
              </w:rPr>
              <w:t xml:space="preserve"> </w:t>
            </w:r>
            <w:proofErr w:type="spellStart"/>
            <w:r w:rsidRPr="004B50DE">
              <w:rPr>
                <w:rFonts w:eastAsiaTheme="minorHAnsi" w:cs="Arial"/>
                <w:b/>
                <w:highlight w:val="yellow"/>
              </w:rPr>
              <w:t>list</w:t>
            </w:r>
            <w:proofErr w:type="spellEnd"/>
            <w:r w:rsidRPr="004B50DE">
              <w:rPr>
                <w:rFonts w:eastAsiaTheme="minorHAnsi" w:cs="Arial"/>
                <w:b/>
                <w:highlight w:val="yellow"/>
              </w:rPr>
              <w:t>)</w:t>
            </w:r>
          </w:p>
        </w:tc>
        <w:tc>
          <w:tcPr>
            <w:tcW w:w="6602" w:type="dxa"/>
          </w:tcPr>
          <w:p w:rsidR="00880455" w:rsidRPr="008E3A76" w:rsidRDefault="00880455" w:rsidP="009553BA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</w:rPr>
            </w:pPr>
            <w:r w:rsidRPr="008E3A76">
              <w:rPr>
                <w:rFonts w:eastAsiaTheme="minorHAnsi" w:cs="Arial"/>
                <w:sz w:val="20"/>
              </w:rPr>
              <w:t>Los hechos financieros, económicos, sociales y ambientales</w:t>
            </w:r>
            <w:r>
              <w:rPr>
                <w:rFonts w:eastAsiaTheme="minorHAnsi" w:cs="Arial"/>
                <w:sz w:val="20"/>
              </w:rPr>
              <w:t xml:space="preserve"> </w:t>
            </w:r>
            <w:r w:rsidRPr="008E3A76">
              <w:rPr>
                <w:rFonts w:eastAsiaTheme="minorHAnsi" w:cs="Arial"/>
                <w:sz w:val="20"/>
              </w:rPr>
              <w:t>deben contabilizarse de manera cronológica y conceptual</w:t>
            </w:r>
            <w:r w:rsidR="007D6CA1">
              <w:rPr>
                <w:rFonts w:eastAsiaTheme="minorHAnsi" w:cs="Arial"/>
                <w:sz w:val="20"/>
              </w:rPr>
              <w:t>,</w:t>
            </w:r>
            <w:r w:rsidRPr="008E3A76">
              <w:rPr>
                <w:rFonts w:eastAsiaTheme="minorHAnsi" w:cs="Arial"/>
                <w:sz w:val="20"/>
              </w:rPr>
              <w:t xml:space="preserve"> observando la etapa</w:t>
            </w:r>
            <w:r>
              <w:rPr>
                <w:rFonts w:eastAsiaTheme="minorHAnsi" w:cs="Arial"/>
                <w:sz w:val="20"/>
              </w:rPr>
              <w:t xml:space="preserve"> </w:t>
            </w:r>
            <w:r w:rsidR="007D6CA1">
              <w:rPr>
                <w:rFonts w:eastAsiaTheme="minorHAnsi" w:cs="Arial"/>
                <w:sz w:val="20"/>
              </w:rPr>
              <w:t xml:space="preserve">del proceso contable relativa </w:t>
            </w:r>
            <w:r w:rsidRPr="008E3A76">
              <w:rPr>
                <w:rFonts w:eastAsiaTheme="minorHAnsi" w:cs="Arial"/>
                <w:sz w:val="20"/>
              </w:rPr>
              <w:t>al reconocimiento, con independencia d</w:t>
            </w:r>
            <w:r>
              <w:rPr>
                <w:rFonts w:eastAsiaTheme="minorHAnsi" w:cs="Arial"/>
                <w:sz w:val="20"/>
              </w:rPr>
              <w:t xml:space="preserve">e los </w:t>
            </w:r>
            <w:r w:rsidRPr="008E3A76">
              <w:rPr>
                <w:rFonts w:eastAsiaTheme="minorHAnsi" w:cs="Arial"/>
                <w:sz w:val="20"/>
              </w:rPr>
              <w:t>niveles tecnológicos de que disponga la entida</w:t>
            </w:r>
            <w:r>
              <w:rPr>
                <w:rFonts w:eastAsiaTheme="minorHAnsi" w:cs="Arial"/>
                <w:sz w:val="20"/>
              </w:rPr>
              <w:t xml:space="preserve">d contable pública, con base en </w:t>
            </w:r>
            <w:r w:rsidRPr="008E3A76">
              <w:rPr>
                <w:rFonts w:eastAsiaTheme="minorHAnsi" w:cs="Arial"/>
                <w:sz w:val="20"/>
              </w:rPr>
              <w:t>la unidad de medida.</w:t>
            </w:r>
          </w:p>
        </w:tc>
      </w:tr>
      <w:tr w:rsidR="00880455" w:rsidRPr="008E3A76" w:rsidTr="009553BA">
        <w:tc>
          <w:tcPr>
            <w:tcW w:w="2376" w:type="dxa"/>
            <w:shd w:val="clear" w:color="auto" w:fill="FFFFEF"/>
            <w:vAlign w:val="center"/>
          </w:tcPr>
          <w:p w:rsidR="00880455" w:rsidRDefault="00E24664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lastRenderedPageBreak/>
              <w:t>D</w:t>
            </w:r>
            <w:r w:rsidRPr="00604C60">
              <w:rPr>
                <w:rFonts w:eastAsiaTheme="minorHAnsi" w:cs="Arial"/>
                <w:b/>
              </w:rPr>
              <w:t>evengo o causación</w:t>
            </w:r>
          </w:p>
          <w:p w:rsidR="004B50DE" w:rsidRDefault="004B50DE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 w:rsidRPr="004B50DE">
              <w:rPr>
                <w:rFonts w:eastAsiaTheme="minorHAnsi" w:cs="Arial"/>
                <w:b/>
                <w:highlight w:val="yellow"/>
              </w:rPr>
              <w:t>(poner signo pesos)</w:t>
            </w:r>
          </w:p>
          <w:p w:rsidR="004B50DE" w:rsidRPr="00604C60" w:rsidRDefault="004B50DE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</w:p>
        </w:tc>
        <w:tc>
          <w:tcPr>
            <w:tcW w:w="6602" w:type="dxa"/>
          </w:tcPr>
          <w:p w:rsidR="00880455" w:rsidRPr="00604C60" w:rsidRDefault="00880455" w:rsidP="007D6CA1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</w:rPr>
            </w:pPr>
            <w:r w:rsidRPr="00604C60">
              <w:rPr>
                <w:rFonts w:eastAsiaTheme="minorHAnsi" w:cs="Arial"/>
                <w:sz w:val="20"/>
              </w:rPr>
              <w:t>Los hechos fina</w:t>
            </w:r>
            <w:r>
              <w:rPr>
                <w:rFonts w:eastAsiaTheme="minorHAnsi" w:cs="Arial"/>
                <w:sz w:val="20"/>
              </w:rPr>
              <w:t xml:space="preserve">ncieros, económicos, sociales y </w:t>
            </w:r>
            <w:r w:rsidRPr="00604C60">
              <w:rPr>
                <w:rFonts w:eastAsiaTheme="minorHAnsi" w:cs="Arial"/>
                <w:sz w:val="20"/>
              </w:rPr>
              <w:t>ambientales deben reconocerse en</w:t>
            </w:r>
            <w:r>
              <w:rPr>
                <w:rFonts w:eastAsiaTheme="minorHAnsi" w:cs="Arial"/>
                <w:sz w:val="20"/>
              </w:rPr>
              <w:t xml:space="preserve"> el momento en que sucedan, con </w:t>
            </w:r>
            <w:r w:rsidRPr="00604C60">
              <w:rPr>
                <w:rFonts w:eastAsiaTheme="minorHAnsi" w:cs="Arial"/>
                <w:sz w:val="20"/>
              </w:rPr>
              <w:t>independencia del instante en que se produzca</w:t>
            </w:r>
            <w:r>
              <w:rPr>
                <w:rFonts w:eastAsiaTheme="minorHAnsi" w:cs="Arial"/>
                <w:sz w:val="20"/>
              </w:rPr>
              <w:t xml:space="preserve"> la corriente de efectivo o del </w:t>
            </w:r>
            <w:r w:rsidRPr="00604C60">
              <w:rPr>
                <w:rFonts w:eastAsiaTheme="minorHAnsi" w:cs="Arial"/>
                <w:sz w:val="20"/>
              </w:rPr>
              <w:t>equivalente que se deriva de estos. El rec</w:t>
            </w:r>
            <w:r>
              <w:rPr>
                <w:rFonts w:eastAsiaTheme="minorHAnsi" w:cs="Arial"/>
                <w:sz w:val="20"/>
              </w:rPr>
              <w:t xml:space="preserve">onocimiento se efectuará cuando </w:t>
            </w:r>
            <w:r w:rsidRPr="00604C60">
              <w:rPr>
                <w:rFonts w:eastAsiaTheme="minorHAnsi" w:cs="Arial"/>
                <w:sz w:val="20"/>
              </w:rPr>
              <w:t>surjan los derechos y obligaciones o cu</w:t>
            </w:r>
            <w:r>
              <w:rPr>
                <w:rFonts w:eastAsiaTheme="minorHAnsi" w:cs="Arial"/>
                <w:sz w:val="20"/>
              </w:rPr>
              <w:t xml:space="preserve">ando la transacción u operación </w:t>
            </w:r>
            <w:r w:rsidRPr="00604C60">
              <w:rPr>
                <w:rFonts w:eastAsiaTheme="minorHAnsi" w:cs="Arial"/>
                <w:sz w:val="20"/>
              </w:rPr>
              <w:t>originada por el hecho incida en los resultados del período.</w:t>
            </w:r>
          </w:p>
        </w:tc>
      </w:tr>
      <w:tr w:rsidR="00880455" w:rsidRPr="008E3A76" w:rsidTr="009553BA">
        <w:tc>
          <w:tcPr>
            <w:tcW w:w="2376" w:type="dxa"/>
            <w:shd w:val="clear" w:color="auto" w:fill="FFFFEF"/>
            <w:vAlign w:val="center"/>
          </w:tcPr>
          <w:p w:rsidR="00880455" w:rsidRPr="00604C60" w:rsidRDefault="00E24664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A</w:t>
            </w:r>
            <w:r w:rsidRPr="00604C60">
              <w:rPr>
                <w:rFonts w:eastAsiaTheme="minorHAnsi" w:cs="Arial"/>
                <w:b/>
              </w:rPr>
              <w:t>sociación</w:t>
            </w:r>
            <w:r w:rsidR="00D606E4">
              <w:rPr>
                <w:rFonts w:eastAsiaTheme="minorHAnsi" w:cs="Arial"/>
                <w:b/>
              </w:rPr>
              <w:t xml:space="preserve"> </w:t>
            </w:r>
            <w:r w:rsidR="00D606E4" w:rsidRPr="007776DC">
              <w:rPr>
                <w:rFonts w:eastAsiaTheme="minorHAnsi" w:cs="Arial"/>
                <w:b/>
                <w:highlight w:val="yellow"/>
              </w:rPr>
              <w:t>(</w:t>
            </w:r>
            <w:r w:rsidR="007776DC" w:rsidRPr="007776DC">
              <w:rPr>
                <w:highlight w:val="yellow"/>
              </w:rPr>
              <w:t>1085255012</w:t>
            </w:r>
            <w:r w:rsidR="00D606E4" w:rsidRPr="007776DC">
              <w:rPr>
                <w:rFonts w:eastAsiaTheme="minorHAnsi" w:cs="Arial"/>
                <w:b/>
                <w:highlight w:val="yellow"/>
              </w:rPr>
              <w:t>)</w:t>
            </w:r>
            <w:r w:rsidR="00D606E4">
              <w:rPr>
                <w:rFonts w:eastAsiaTheme="minorHAnsi" w:cs="Arial"/>
                <w:b/>
              </w:rPr>
              <w:t xml:space="preserve"> </w:t>
            </w:r>
          </w:p>
        </w:tc>
        <w:tc>
          <w:tcPr>
            <w:tcW w:w="6602" w:type="dxa"/>
          </w:tcPr>
          <w:p w:rsidR="00880455" w:rsidRPr="00604C60" w:rsidRDefault="00880455" w:rsidP="009553BA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</w:rPr>
            </w:pPr>
            <w:r w:rsidRPr="00604C60">
              <w:rPr>
                <w:rFonts w:eastAsiaTheme="minorHAnsi" w:cs="Arial"/>
                <w:sz w:val="20"/>
              </w:rPr>
              <w:t>El reconocimiento de ingre</w:t>
            </w:r>
            <w:r>
              <w:rPr>
                <w:rFonts w:eastAsiaTheme="minorHAnsi" w:cs="Arial"/>
                <w:sz w:val="20"/>
              </w:rPr>
              <w:t xml:space="preserve">sos debe estar asociado con los gastos </w:t>
            </w:r>
            <w:r w:rsidRPr="00604C60">
              <w:rPr>
                <w:rFonts w:eastAsiaTheme="minorHAnsi" w:cs="Arial"/>
                <w:sz w:val="20"/>
              </w:rPr>
              <w:t>necesarios para la ejecución de las func</w:t>
            </w:r>
            <w:r>
              <w:rPr>
                <w:rFonts w:eastAsiaTheme="minorHAnsi" w:cs="Arial"/>
                <w:sz w:val="20"/>
              </w:rPr>
              <w:t xml:space="preserve">iones de cometido estatal y con </w:t>
            </w:r>
            <w:r w:rsidR="007D6CA1">
              <w:rPr>
                <w:rFonts w:eastAsiaTheme="minorHAnsi" w:cs="Arial"/>
                <w:sz w:val="20"/>
              </w:rPr>
              <w:t xml:space="preserve">los costos </w:t>
            </w:r>
            <w:r w:rsidRPr="00604C60">
              <w:rPr>
                <w:rFonts w:eastAsiaTheme="minorHAnsi" w:cs="Arial"/>
                <w:sz w:val="20"/>
              </w:rPr>
              <w:t>o gastos relacion</w:t>
            </w:r>
            <w:r>
              <w:rPr>
                <w:rFonts w:eastAsiaTheme="minorHAnsi" w:cs="Arial"/>
                <w:sz w:val="20"/>
              </w:rPr>
              <w:t xml:space="preserve">ados con el consumo de recursos necesarios para </w:t>
            </w:r>
            <w:r w:rsidRPr="00604C60">
              <w:rPr>
                <w:rFonts w:eastAsiaTheme="minorHAnsi" w:cs="Arial"/>
                <w:sz w:val="20"/>
              </w:rPr>
              <w:t>producir tales ingresos.</w:t>
            </w:r>
          </w:p>
        </w:tc>
      </w:tr>
      <w:tr w:rsidR="00880455" w:rsidRPr="008E3A76" w:rsidTr="009553BA">
        <w:tc>
          <w:tcPr>
            <w:tcW w:w="2376" w:type="dxa"/>
            <w:shd w:val="clear" w:color="auto" w:fill="FFFFEF"/>
            <w:vAlign w:val="center"/>
          </w:tcPr>
          <w:p w:rsidR="00880455" w:rsidRDefault="00E24664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M</w:t>
            </w:r>
            <w:r w:rsidRPr="00604C60">
              <w:rPr>
                <w:rFonts w:eastAsiaTheme="minorHAnsi" w:cs="Arial"/>
                <w:b/>
              </w:rPr>
              <w:t>edición</w:t>
            </w:r>
          </w:p>
          <w:p w:rsidR="00D606E4" w:rsidRPr="00604C60" w:rsidRDefault="00D606E4" w:rsidP="00D606E4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 w:rsidRPr="00D606E4">
              <w:rPr>
                <w:rFonts w:eastAsiaTheme="minorHAnsi" w:cs="Arial"/>
                <w:b/>
                <w:highlight w:val="yellow"/>
              </w:rPr>
              <w:t>(poner gráfico circular estadística)</w:t>
            </w:r>
          </w:p>
        </w:tc>
        <w:tc>
          <w:tcPr>
            <w:tcW w:w="6602" w:type="dxa"/>
          </w:tcPr>
          <w:p w:rsidR="00880455" w:rsidRPr="00604C60" w:rsidRDefault="00880455" w:rsidP="009553BA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</w:rPr>
            </w:pPr>
            <w:r w:rsidRPr="00604C60">
              <w:rPr>
                <w:rFonts w:eastAsiaTheme="minorHAnsi" w:cs="Arial"/>
                <w:sz w:val="20"/>
              </w:rPr>
              <w:t>Los hechos financieros, económicos, sociales y ambientales</w:t>
            </w:r>
            <w:r>
              <w:rPr>
                <w:rFonts w:eastAsiaTheme="minorHAnsi" w:cs="Arial"/>
                <w:sz w:val="20"/>
              </w:rPr>
              <w:t xml:space="preserve"> </w:t>
            </w:r>
            <w:r w:rsidRPr="00604C60">
              <w:rPr>
                <w:rFonts w:eastAsiaTheme="minorHAnsi" w:cs="Arial"/>
                <w:sz w:val="20"/>
              </w:rPr>
              <w:t xml:space="preserve">deben reconocerse en función de los eventos y </w:t>
            </w:r>
            <w:r>
              <w:rPr>
                <w:rFonts w:eastAsiaTheme="minorHAnsi" w:cs="Arial"/>
                <w:sz w:val="20"/>
              </w:rPr>
              <w:t xml:space="preserve">transacciones que los originan, </w:t>
            </w:r>
            <w:r w:rsidRPr="00604C60">
              <w:rPr>
                <w:rFonts w:eastAsiaTheme="minorHAnsi" w:cs="Arial"/>
                <w:sz w:val="20"/>
              </w:rPr>
              <w:t>empleando técnicas cuantitativas o cualitati</w:t>
            </w:r>
            <w:r>
              <w:rPr>
                <w:rFonts w:eastAsiaTheme="minorHAnsi" w:cs="Arial"/>
                <w:sz w:val="20"/>
              </w:rPr>
              <w:t xml:space="preserve">vas. Los hechos susceptibles de </w:t>
            </w:r>
            <w:r w:rsidRPr="00604C60">
              <w:rPr>
                <w:rFonts w:eastAsiaTheme="minorHAnsi" w:cs="Arial"/>
                <w:sz w:val="20"/>
              </w:rPr>
              <w:t>ser cuantificados monetariamente se valuarán al costo histórico y serán ob</w:t>
            </w:r>
            <w:r>
              <w:rPr>
                <w:rFonts w:eastAsiaTheme="minorHAnsi" w:cs="Arial"/>
                <w:sz w:val="20"/>
              </w:rPr>
              <w:t xml:space="preserve">jeto </w:t>
            </w:r>
            <w:r w:rsidRPr="00604C60">
              <w:rPr>
                <w:rFonts w:eastAsiaTheme="minorHAnsi" w:cs="Arial"/>
                <w:sz w:val="20"/>
              </w:rPr>
              <w:t>de actualización, sin perjuicio de aplicar criteri</w:t>
            </w:r>
            <w:r>
              <w:rPr>
                <w:rFonts w:eastAsiaTheme="minorHAnsi" w:cs="Arial"/>
                <w:sz w:val="20"/>
              </w:rPr>
              <w:t xml:space="preserve">os técnicos alternativos que se </w:t>
            </w:r>
            <w:r w:rsidRPr="00604C60">
              <w:rPr>
                <w:rFonts w:eastAsiaTheme="minorHAnsi" w:cs="Arial"/>
                <w:sz w:val="20"/>
              </w:rPr>
              <w:t>requieran en la actualización y revelación.</w:t>
            </w:r>
          </w:p>
        </w:tc>
      </w:tr>
      <w:tr w:rsidR="00880455" w:rsidRPr="008E3A76" w:rsidTr="009553BA">
        <w:tc>
          <w:tcPr>
            <w:tcW w:w="2376" w:type="dxa"/>
            <w:shd w:val="clear" w:color="auto" w:fill="FFFFEF"/>
            <w:vAlign w:val="center"/>
          </w:tcPr>
          <w:p w:rsidR="00880455" w:rsidRDefault="00E24664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P</w:t>
            </w:r>
            <w:r w:rsidRPr="00604C60">
              <w:rPr>
                <w:rFonts w:eastAsiaTheme="minorHAnsi" w:cs="Arial"/>
                <w:b/>
              </w:rPr>
              <w:t>rudencia</w:t>
            </w:r>
          </w:p>
          <w:p w:rsidR="00C03092" w:rsidRPr="00604C60" w:rsidRDefault="00C03092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 w:rsidRPr="00C03092">
              <w:rPr>
                <w:rFonts w:eastAsiaTheme="minorHAnsi" w:cs="Arial"/>
                <w:b/>
                <w:highlight w:val="yellow"/>
              </w:rPr>
              <w:t>(IST_20425_80628)</w:t>
            </w:r>
          </w:p>
        </w:tc>
        <w:tc>
          <w:tcPr>
            <w:tcW w:w="6602" w:type="dxa"/>
          </w:tcPr>
          <w:p w:rsidR="00880455" w:rsidRPr="00604C60" w:rsidRDefault="00880455" w:rsidP="007D6CA1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</w:rPr>
            </w:pPr>
            <w:r w:rsidRPr="00604C60">
              <w:rPr>
                <w:rFonts w:eastAsiaTheme="minorHAnsi" w:cs="Arial"/>
                <w:sz w:val="20"/>
              </w:rPr>
              <w:t>En relación con los ingresos, deben contabilizarse únicamente</w:t>
            </w:r>
            <w:r>
              <w:rPr>
                <w:rFonts w:eastAsiaTheme="minorHAnsi" w:cs="Arial"/>
                <w:sz w:val="20"/>
              </w:rPr>
              <w:t xml:space="preserve"> </w:t>
            </w:r>
            <w:r w:rsidRPr="00604C60">
              <w:rPr>
                <w:rFonts w:eastAsiaTheme="minorHAnsi" w:cs="Arial"/>
                <w:sz w:val="20"/>
              </w:rPr>
              <w:t xml:space="preserve">los realizados durante el período contable y no los potenciales </w:t>
            </w:r>
            <w:r>
              <w:rPr>
                <w:rFonts w:eastAsiaTheme="minorHAnsi" w:cs="Arial"/>
                <w:sz w:val="20"/>
              </w:rPr>
              <w:t xml:space="preserve">o sometidos a </w:t>
            </w:r>
            <w:r w:rsidRPr="00604C60">
              <w:rPr>
                <w:rFonts w:eastAsiaTheme="minorHAnsi" w:cs="Arial"/>
                <w:sz w:val="20"/>
              </w:rPr>
              <w:t xml:space="preserve">condición alguna. Con referencia a los gastos </w:t>
            </w:r>
            <w:r>
              <w:rPr>
                <w:rFonts w:eastAsiaTheme="minorHAnsi" w:cs="Arial"/>
                <w:sz w:val="20"/>
              </w:rPr>
              <w:t>deben contabilizarse no s</w:t>
            </w:r>
            <w:r w:rsidR="007D6CA1">
              <w:rPr>
                <w:rFonts w:eastAsiaTheme="minorHAnsi" w:cs="Arial"/>
                <w:sz w:val="20"/>
              </w:rPr>
              <w:t>o</w:t>
            </w:r>
            <w:r>
              <w:rPr>
                <w:rFonts w:eastAsiaTheme="minorHAnsi" w:cs="Arial"/>
                <w:sz w:val="20"/>
              </w:rPr>
              <w:t xml:space="preserve">lo en </w:t>
            </w:r>
            <w:r w:rsidRPr="00604C60">
              <w:rPr>
                <w:rFonts w:eastAsiaTheme="minorHAnsi" w:cs="Arial"/>
                <w:sz w:val="20"/>
              </w:rPr>
              <w:t>los que se incurre durante el período contable</w:t>
            </w:r>
            <w:r>
              <w:rPr>
                <w:rFonts w:eastAsiaTheme="minorHAnsi" w:cs="Arial"/>
                <w:sz w:val="20"/>
              </w:rPr>
              <w:t xml:space="preserve">, sino también los potenciales, </w:t>
            </w:r>
            <w:r w:rsidRPr="00604C60">
              <w:rPr>
                <w:rFonts w:eastAsiaTheme="minorHAnsi" w:cs="Arial"/>
                <w:sz w:val="20"/>
              </w:rPr>
              <w:t>desde cuando se tenga conocimiento, es decir, los que supongan riesgos</w:t>
            </w:r>
            <w:r>
              <w:rPr>
                <w:rFonts w:eastAsiaTheme="minorHAnsi" w:cs="Arial"/>
                <w:sz w:val="20"/>
              </w:rPr>
              <w:t xml:space="preserve"> </w:t>
            </w:r>
            <w:r w:rsidRPr="00604C60">
              <w:rPr>
                <w:rFonts w:eastAsiaTheme="minorHAnsi" w:cs="Arial"/>
                <w:sz w:val="20"/>
              </w:rPr>
              <w:t xml:space="preserve">previsibles o pérdidas eventuales, cuyo origen se </w:t>
            </w:r>
            <w:r>
              <w:rPr>
                <w:rFonts w:eastAsiaTheme="minorHAnsi" w:cs="Arial"/>
                <w:sz w:val="20"/>
              </w:rPr>
              <w:t xml:space="preserve">presente en el período actual </w:t>
            </w:r>
            <w:r w:rsidRPr="00604C60">
              <w:rPr>
                <w:rFonts w:eastAsiaTheme="minorHAnsi" w:cs="Arial"/>
                <w:sz w:val="20"/>
              </w:rPr>
              <w:t>o en períodos anteriores.</w:t>
            </w:r>
          </w:p>
        </w:tc>
      </w:tr>
      <w:tr w:rsidR="00880455" w:rsidRPr="008E3A76" w:rsidTr="009553BA">
        <w:tc>
          <w:tcPr>
            <w:tcW w:w="2376" w:type="dxa"/>
            <w:shd w:val="clear" w:color="auto" w:fill="FFFFEF"/>
            <w:vAlign w:val="center"/>
          </w:tcPr>
          <w:p w:rsidR="00880455" w:rsidRDefault="00E24664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Perí</w:t>
            </w:r>
            <w:r w:rsidRPr="00604C60">
              <w:rPr>
                <w:rFonts w:eastAsiaTheme="minorHAnsi" w:cs="Arial"/>
                <w:b/>
              </w:rPr>
              <w:t>odo contable</w:t>
            </w:r>
          </w:p>
          <w:p w:rsidR="00C03092" w:rsidRPr="00604C60" w:rsidRDefault="00C03092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(</w:t>
            </w:r>
            <w:r w:rsidRPr="00C03092">
              <w:rPr>
                <w:rFonts w:eastAsiaTheme="minorHAnsi" w:cs="Arial"/>
                <w:b/>
                <w:highlight w:val="yellow"/>
              </w:rPr>
              <w:t>poner un reloj)</w:t>
            </w:r>
          </w:p>
        </w:tc>
        <w:tc>
          <w:tcPr>
            <w:tcW w:w="6602" w:type="dxa"/>
          </w:tcPr>
          <w:p w:rsidR="00880455" w:rsidRPr="00604C60" w:rsidRDefault="00880455" w:rsidP="009553BA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</w:rPr>
            </w:pPr>
            <w:r w:rsidRPr="00604C60">
              <w:rPr>
                <w:rFonts w:eastAsiaTheme="minorHAnsi" w:cs="Arial"/>
                <w:sz w:val="20"/>
              </w:rPr>
              <w:t>Corresponde al tiempo máximo en que la entidad</w:t>
            </w:r>
            <w:r>
              <w:rPr>
                <w:rFonts w:eastAsiaTheme="minorHAnsi" w:cs="Arial"/>
                <w:sz w:val="20"/>
              </w:rPr>
              <w:t xml:space="preserve"> </w:t>
            </w:r>
            <w:r w:rsidRPr="00604C60">
              <w:rPr>
                <w:rFonts w:eastAsiaTheme="minorHAnsi" w:cs="Arial"/>
                <w:sz w:val="20"/>
              </w:rPr>
              <w:t xml:space="preserve">contable pública debe medir los resultados </w:t>
            </w:r>
            <w:r>
              <w:rPr>
                <w:rFonts w:eastAsiaTheme="minorHAnsi" w:cs="Arial"/>
                <w:sz w:val="20"/>
              </w:rPr>
              <w:t xml:space="preserve">de sus operaciones financieras, </w:t>
            </w:r>
            <w:r w:rsidRPr="00604C60">
              <w:rPr>
                <w:rFonts w:eastAsiaTheme="minorHAnsi" w:cs="Arial"/>
                <w:sz w:val="20"/>
              </w:rPr>
              <w:t>económicas, sociales y ambientales, y el patr</w:t>
            </w:r>
            <w:r>
              <w:rPr>
                <w:rFonts w:eastAsiaTheme="minorHAnsi" w:cs="Arial"/>
                <w:sz w:val="20"/>
              </w:rPr>
              <w:t xml:space="preserve">imonio público bajo su control, </w:t>
            </w:r>
            <w:r w:rsidRPr="00604C60">
              <w:rPr>
                <w:rFonts w:eastAsiaTheme="minorHAnsi" w:cs="Arial"/>
                <w:sz w:val="20"/>
              </w:rPr>
              <w:t>efectuando las operaciones contables de ajuste</w:t>
            </w:r>
            <w:r>
              <w:rPr>
                <w:rFonts w:eastAsiaTheme="minorHAnsi" w:cs="Arial"/>
                <w:sz w:val="20"/>
              </w:rPr>
              <w:t xml:space="preserve">s y cierre. El período contable </w:t>
            </w:r>
            <w:r w:rsidRPr="00604C60">
              <w:rPr>
                <w:rFonts w:eastAsiaTheme="minorHAnsi" w:cs="Arial"/>
                <w:sz w:val="20"/>
              </w:rPr>
              <w:t>es el lapso transcurrido entre el 1 de enero y e</w:t>
            </w:r>
            <w:r>
              <w:rPr>
                <w:rFonts w:eastAsiaTheme="minorHAnsi" w:cs="Arial"/>
                <w:sz w:val="20"/>
              </w:rPr>
              <w:t xml:space="preserve">l 31 de diciembre. No obstante, </w:t>
            </w:r>
            <w:r w:rsidRPr="00604C60">
              <w:rPr>
                <w:rFonts w:eastAsiaTheme="minorHAnsi" w:cs="Arial"/>
                <w:sz w:val="20"/>
              </w:rPr>
              <w:t>se podrán solicitar estados contables in</w:t>
            </w:r>
            <w:r>
              <w:rPr>
                <w:rFonts w:eastAsiaTheme="minorHAnsi" w:cs="Arial"/>
                <w:sz w:val="20"/>
              </w:rPr>
              <w:t xml:space="preserve">termedios e informes y reportes </w:t>
            </w:r>
            <w:r w:rsidRPr="00604C60">
              <w:rPr>
                <w:rFonts w:eastAsiaTheme="minorHAnsi" w:cs="Arial"/>
                <w:sz w:val="20"/>
              </w:rPr>
              <w:t>contables, de acuerdo con las necesidades o re</w:t>
            </w:r>
            <w:r>
              <w:rPr>
                <w:rFonts w:eastAsiaTheme="minorHAnsi" w:cs="Arial"/>
                <w:sz w:val="20"/>
              </w:rPr>
              <w:t xml:space="preserve">querimientos de las autoridades </w:t>
            </w:r>
            <w:r w:rsidRPr="00604C60">
              <w:rPr>
                <w:rFonts w:eastAsiaTheme="minorHAnsi" w:cs="Arial"/>
                <w:sz w:val="20"/>
              </w:rPr>
              <w:t>competentes, sin que esto signifique necesariamente la ejecución de un cierre</w:t>
            </w:r>
            <w:r w:rsidR="007D6CA1">
              <w:rPr>
                <w:rFonts w:eastAsiaTheme="minorHAnsi" w:cs="Arial"/>
                <w:sz w:val="20"/>
              </w:rPr>
              <w:t>.</w:t>
            </w:r>
          </w:p>
        </w:tc>
      </w:tr>
      <w:tr w:rsidR="00880455" w:rsidRPr="008E3A76" w:rsidTr="009553BA">
        <w:tc>
          <w:tcPr>
            <w:tcW w:w="2376" w:type="dxa"/>
            <w:shd w:val="clear" w:color="auto" w:fill="FFFFEF"/>
            <w:vAlign w:val="center"/>
          </w:tcPr>
          <w:p w:rsidR="00880455" w:rsidRDefault="00E24664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R</w:t>
            </w:r>
            <w:r w:rsidRPr="00604C60">
              <w:rPr>
                <w:rFonts w:eastAsiaTheme="minorHAnsi" w:cs="Arial"/>
                <w:b/>
              </w:rPr>
              <w:t>evelación</w:t>
            </w:r>
          </w:p>
          <w:p w:rsidR="00C03092" w:rsidRPr="00604C60" w:rsidRDefault="00C03092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(</w:t>
            </w:r>
            <w:r w:rsidRPr="00C03092">
              <w:rPr>
                <w:rFonts w:eastAsiaTheme="minorHAnsi" w:cs="Arial"/>
                <w:b/>
                <w:highlight w:val="yellow"/>
              </w:rPr>
              <w:t>ISS_2756_05251)</w:t>
            </w:r>
          </w:p>
        </w:tc>
        <w:tc>
          <w:tcPr>
            <w:tcW w:w="6602" w:type="dxa"/>
          </w:tcPr>
          <w:p w:rsidR="00880455" w:rsidRPr="00604C60" w:rsidRDefault="00880455" w:rsidP="009553BA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</w:rPr>
            </w:pPr>
            <w:r w:rsidRPr="00604C60">
              <w:rPr>
                <w:rFonts w:eastAsiaTheme="minorHAnsi" w:cs="Arial"/>
                <w:sz w:val="20"/>
              </w:rPr>
              <w:t>Los estados, informes y reportes contables deben reflejar la</w:t>
            </w:r>
            <w:r>
              <w:rPr>
                <w:rFonts w:eastAsiaTheme="minorHAnsi" w:cs="Arial"/>
                <w:sz w:val="20"/>
              </w:rPr>
              <w:t xml:space="preserve"> </w:t>
            </w:r>
            <w:r w:rsidRPr="00604C60">
              <w:rPr>
                <w:rFonts w:eastAsiaTheme="minorHAnsi" w:cs="Arial"/>
                <w:sz w:val="20"/>
              </w:rPr>
              <w:t>situación financiera, económica, social y a</w:t>
            </w:r>
            <w:r>
              <w:rPr>
                <w:rFonts w:eastAsiaTheme="minorHAnsi" w:cs="Arial"/>
                <w:sz w:val="20"/>
              </w:rPr>
              <w:t xml:space="preserve">mbiental de la entidad contable </w:t>
            </w:r>
            <w:r w:rsidRPr="00604C60">
              <w:rPr>
                <w:rFonts w:eastAsiaTheme="minorHAnsi" w:cs="Arial"/>
                <w:sz w:val="20"/>
              </w:rPr>
              <w:t>pública, así como los resultados del desarrol</w:t>
            </w:r>
            <w:r>
              <w:rPr>
                <w:rFonts w:eastAsiaTheme="minorHAnsi" w:cs="Arial"/>
                <w:sz w:val="20"/>
              </w:rPr>
              <w:t xml:space="preserve">lo de las funciones de cometido </w:t>
            </w:r>
            <w:r w:rsidRPr="00604C60">
              <w:rPr>
                <w:rFonts w:eastAsiaTheme="minorHAnsi" w:cs="Arial"/>
                <w:sz w:val="20"/>
              </w:rPr>
              <w:t>estatal por medio de la información contenida en ellos</w:t>
            </w:r>
            <w:r w:rsidR="007D6CA1">
              <w:rPr>
                <w:rFonts w:eastAsiaTheme="minorHAnsi" w:cs="Arial"/>
                <w:sz w:val="20"/>
              </w:rPr>
              <w:t>.</w:t>
            </w:r>
          </w:p>
        </w:tc>
      </w:tr>
      <w:tr w:rsidR="00880455" w:rsidRPr="008E3A76" w:rsidTr="009553BA">
        <w:tc>
          <w:tcPr>
            <w:tcW w:w="2376" w:type="dxa"/>
            <w:shd w:val="clear" w:color="auto" w:fill="FFFFEF"/>
            <w:vAlign w:val="center"/>
          </w:tcPr>
          <w:p w:rsidR="00880455" w:rsidRDefault="00E24664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N</w:t>
            </w:r>
            <w:r w:rsidRPr="00604C60">
              <w:rPr>
                <w:rFonts w:eastAsiaTheme="minorHAnsi" w:cs="Arial"/>
                <w:b/>
              </w:rPr>
              <w:t>o compensación</w:t>
            </w:r>
          </w:p>
          <w:p w:rsidR="00F65016" w:rsidRPr="00604C60" w:rsidRDefault="00F65016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</w:rPr>
            </w:pPr>
            <w:r w:rsidRPr="00F65016">
              <w:rPr>
                <w:rFonts w:eastAsiaTheme="minorHAnsi" w:cs="Arial"/>
                <w:b/>
                <w:highlight w:val="yellow"/>
              </w:rPr>
              <w:t>(poner ícono estadística curva arriba)</w:t>
            </w:r>
          </w:p>
        </w:tc>
        <w:tc>
          <w:tcPr>
            <w:tcW w:w="6602" w:type="dxa"/>
          </w:tcPr>
          <w:p w:rsidR="00880455" w:rsidRPr="00604C60" w:rsidRDefault="00880455" w:rsidP="009553BA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</w:rPr>
            </w:pPr>
            <w:r w:rsidRPr="00604C60">
              <w:rPr>
                <w:rFonts w:eastAsiaTheme="minorHAnsi" w:cs="Arial"/>
                <w:sz w:val="20"/>
              </w:rPr>
              <w:t>En ningún caso deben presentarse partidas netas</w:t>
            </w:r>
            <w:r>
              <w:rPr>
                <w:rFonts w:eastAsiaTheme="minorHAnsi" w:cs="Arial"/>
                <w:sz w:val="20"/>
              </w:rPr>
              <w:t xml:space="preserve"> </w:t>
            </w:r>
            <w:r w:rsidRPr="00604C60">
              <w:rPr>
                <w:rFonts w:eastAsiaTheme="minorHAnsi" w:cs="Arial"/>
                <w:sz w:val="20"/>
              </w:rPr>
              <w:t>como efecto de compensar activos y pasivos de</w:t>
            </w:r>
            <w:r>
              <w:rPr>
                <w:rFonts w:eastAsiaTheme="minorHAnsi" w:cs="Arial"/>
                <w:sz w:val="20"/>
              </w:rPr>
              <w:t xml:space="preserve">l balance, o ingresos, gastos y </w:t>
            </w:r>
            <w:r w:rsidRPr="00604C60">
              <w:rPr>
                <w:rFonts w:eastAsiaTheme="minorHAnsi" w:cs="Arial"/>
                <w:sz w:val="20"/>
              </w:rPr>
              <w:t xml:space="preserve">costos que integran el estado de actividad </w:t>
            </w:r>
            <w:r>
              <w:rPr>
                <w:rFonts w:eastAsiaTheme="minorHAnsi" w:cs="Arial"/>
                <w:sz w:val="20"/>
              </w:rPr>
              <w:t>financiera, económica, social y ambiental.</w:t>
            </w:r>
          </w:p>
        </w:tc>
      </w:tr>
      <w:tr w:rsidR="00880455" w:rsidRPr="008E3A76" w:rsidTr="009553BA">
        <w:tc>
          <w:tcPr>
            <w:tcW w:w="2376" w:type="dxa"/>
            <w:shd w:val="clear" w:color="auto" w:fill="FFFFEF"/>
            <w:vAlign w:val="center"/>
          </w:tcPr>
          <w:p w:rsidR="00880455" w:rsidRPr="00DB4FEA" w:rsidRDefault="00E24664" w:rsidP="009553B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lang w:val="es-MX"/>
              </w:rPr>
            </w:pPr>
            <w:r>
              <w:rPr>
                <w:rFonts w:eastAsiaTheme="minorHAnsi" w:cs="Arial"/>
                <w:b/>
              </w:rPr>
              <w:t>H</w:t>
            </w:r>
            <w:r w:rsidRPr="00604C60">
              <w:rPr>
                <w:rFonts w:eastAsiaTheme="minorHAnsi" w:cs="Arial"/>
                <w:b/>
              </w:rPr>
              <w:t>echos posteriores al cierre</w:t>
            </w:r>
            <w:r w:rsidR="00DB4FEA">
              <w:rPr>
                <w:rFonts w:eastAsiaTheme="minorHAnsi" w:cs="Arial"/>
                <w:b/>
              </w:rPr>
              <w:t xml:space="preserve"> </w:t>
            </w:r>
            <w:r w:rsidR="00DB4FEA" w:rsidRPr="00DB4FEA">
              <w:rPr>
                <w:rFonts w:eastAsiaTheme="minorHAnsi" w:cs="Arial"/>
                <w:b/>
                <w:highlight w:val="yellow"/>
              </w:rPr>
              <w:t>(IST_22196_24451)</w:t>
            </w:r>
          </w:p>
        </w:tc>
        <w:tc>
          <w:tcPr>
            <w:tcW w:w="6602" w:type="dxa"/>
          </w:tcPr>
          <w:p w:rsidR="00880455" w:rsidRPr="00604C60" w:rsidRDefault="00880455" w:rsidP="009553BA">
            <w:pPr>
              <w:autoSpaceDE w:val="0"/>
              <w:autoSpaceDN w:val="0"/>
              <w:adjustRightInd w:val="0"/>
              <w:rPr>
                <w:rFonts w:eastAsiaTheme="minorHAnsi" w:cs="Arial"/>
                <w:sz w:val="20"/>
              </w:rPr>
            </w:pPr>
            <w:r w:rsidRPr="00604C60">
              <w:rPr>
                <w:rFonts w:eastAsiaTheme="minorHAnsi" w:cs="Arial"/>
                <w:sz w:val="20"/>
              </w:rPr>
              <w:t>La información conocida entre la fecha de</w:t>
            </w:r>
            <w:r>
              <w:rPr>
                <w:rFonts w:eastAsiaTheme="minorHAnsi" w:cs="Arial"/>
                <w:sz w:val="20"/>
              </w:rPr>
              <w:t xml:space="preserve"> </w:t>
            </w:r>
            <w:r w:rsidRPr="00604C60">
              <w:rPr>
                <w:rFonts w:eastAsiaTheme="minorHAnsi" w:cs="Arial"/>
                <w:sz w:val="20"/>
              </w:rPr>
              <w:t>cierre y la de emisión o presentación de los es</w:t>
            </w:r>
            <w:r>
              <w:rPr>
                <w:rFonts w:eastAsiaTheme="minorHAnsi" w:cs="Arial"/>
                <w:sz w:val="20"/>
              </w:rPr>
              <w:t xml:space="preserve">tados contables, que suministre </w:t>
            </w:r>
            <w:r w:rsidRPr="00604C60">
              <w:rPr>
                <w:rFonts w:eastAsiaTheme="minorHAnsi" w:cs="Arial"/>
                <w:sz w:val="20"/>
              </w:rPr>
              <w:t>evidencia adicional sobre condiciones existent</w:t>
            </w:r>
            <w:r>
              <w:rPr>
                <w:rFonts w:eastAsiaTheme="minorHAnsi" w:cs="Arial"/>
                <w:sz w:val="20"/>
              </w:rPr>
              <w:t xml:space="preserve">es antes de la fecha de cierre, </w:t>
            </w:r>
            <w:r w:rsidRPr="00604C60">
              <w:rPr>
                <w:rFonts w:eastAsiaTheme="minorHAnsi" w:cs="Arial"/>
                <w:sz w:val="20"/>
              </w:rPr>
              <w:t>así como la indicativa de hechos surgido</w:t>
            </w:r>
            <w:r>
              <w:rPr>
                <w:rFonts w:eastAsiaTheme="minorHAnsi" w:cs="Arial"/>
                <w:sz w:val="20"/>
              </w:rPr>
              <w:t xml:space="preserve">s con posterioridad, que por su </w:t>
            </w:r>
            <w:r w:rsidRPr="00604C60">
              <w:rPr>
                <w:rFonts w:eastAsiaTheme="minorHAnsi" w:cs="Arial"/>
                <w:sz w:val="20"/>
              </w:rPr>
              <w:t xml:space="preserve">materialidad impacten los estados contables, debe </w:t>
            </w:r>
            <w:r>
              <w:rPr>
                <w:rFonts w:eastAsiaTheme="minorHAnsi" w:cs="Arial"/>
                <w:sz w:val="20"/>
              </w:rPr>
              <w:t xml:space="preserve">ser registrada en el período </w:t>
            </w:r>
            <w:r w:rsidRPr="00604C60">
              <w:rPr>
                <w:rFonts w:eastAsiaTheme="minorHAnsi" w:cs="Arial"/>
                <w:sz w:val="20"/>
              </w:rPr>
              <w:t>objeto de cierre o revelada por medio de notas a los estados contables, respectivamente.</w:t>
            </w:r>
          </w:p>
        </w:tc>
      </w:tr>
    </w:tbl>
    <w:p w:rsidR="00880455" w:rsidRPr="00DE7AD3" w:rsidRDefault="007D6CA1" w:rsidP="00DE7AD3">
      <w:pPr>
        <w:autoSpaceDE w:val="0"/>
        <w:autoSpaceDN w:val="0"/>
        <w:adjustRightInd w:val="0"/>
        <w:jc w:val="center"/>
        <w:rPr>
          <w:rFonts w:eastAsiaTheme="minorHAnsi" w:cs="Arial"/>
          <w:b/>
          <w:sz w:val="18"/>
          <w:szCs w:val="18"/>
        </w:rPr>
      </w:pPr>
      <w:r w:rsidRPr="001C1EEF">
        <w:rPr>
          <w:rFonts w:eastAsiaTheme="minorHAnsi" w:cs="Arial"/>
          <w:b/>
          <w:sz w:val="18"/>
          <w:szCs w:val="18"/>
          <w:highlight w:val="cyan"/>
        </w:rPr>
        <w:t>E</w:t>
      </w:r>
      <w:r w:rsidR="0087115B">
        <w:rPr>
          <w:rFonts w:eastAsiaTheme="minorHAnsi" w:cs="Arial"/>
          <w:b/>
          <w:sz w:val="18"/>
          <w:szCs w:val="18"/>
          <w:highlight w:val="cyan"/>
        </w:rPr>
        <w:t>laborado</w:t>
      </w:r>
      <w:r w:rsidR="00880455" w:rsidRPr="001C1EEF">
        <w:rPr>
          <w:rFonts w:eastAsiaTheme="minorHAnsi" w:cs="Arial"/>
          <w:b/>
          <w:sz w:val="18"/>
          <w:szCs w:val="18"/>
          <w:highlight w:val="cyan"/>
        </w:rPr>
        <w:t xml:space="preserve"> </w:t>
      </w:r>
      <w:r w:rsidR="0087115B">
        <w:rPr>
          <w:rFonts w:eastAsiaTheme="minorHAnsi" w:cs="Arial"/>
          <w:b/>
          <w:sz w:val="18"/>
          <w:szCs w:val="18"/>
          <w:highlight w:val="cyan"/>
        </w:rPr>
        <w:t xml:space="preserve">a partir de </w:t>
      </w:r>
      <w:r w:rsidRPr="001C1EEF">
        <w:rPr>
          <w:rFonts w:eastAsiaTheme="minorHAnsi" w:cs="Arial"/>
          <w:b/>
          <w:sz w:val="18"/>
          <w:szCs w:val="18"/>
          <w:highlight w:val="cyan"/>
        </w:rPr>
        <w:t>Contaduría</w:t>
      </w:r>
      <w:r w:rsidR="00485009" w:rsidRPr="001C1EEF">
        <w:rPr>
          <w:rFonts w:eastAsiaTheme="minorHAnsi" w:cs="Arial"/>
          <w:b/>
          <w:sz w:val="18"/>
          <w:szCs w:val="18"/>
          <w:highlight w:val="cyan"/>
        </w:rPr>
        <w:t xml:space="preserve"> General d</w:t>
      </w:r>
      <w:r w:rsidRPr="001C1EEF">
        <w:rPr>
          <w:rFonts w:eastAsiaTheme="minorHAnsi" w:cs="Arial"/>
          <w:b/>
          <w:sz w:val="18"/>
          <w:szCs w:val="18"/>
          <w:highlight w:val="cyan"/>
        </w:rPr>
        <w:t>e la Nación, 2019</w:t>
      </w:r>
      <w:r w:rsidR="0090346E">
        <w:rPr>
          <w:rFonts w:eastAsiaTheme="minorHAnsi" w:cs="Arial"/>
          <w:b/>
          <w:sz w:val="18"/>
          <w:szCs w:val="18"/>
        </w:rPr>
        <w:t>.</w:t>
      </w:r>
    </w:p>
    <w:p w:rsidR="002E212D" w:rsidRDefault="002E212D"/>
    <w:sectPr w:rsidR="002E2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55"/>
    <w:rsid w:val="001C1EEF"/>
    <w:rsid w:val="002E212D"/>
    <w:rsid w:val="002E73BB"/>
    <w:rsid w:val="00485009"/>
    <w:rsid w:val="004B50DE"/>
    <w:rsid w:val="005156B0"/>
    <w:rsid w:val="00760C91"/>
    <w:rsid w:val="007776DC"/>
    <w:rsid w:val="007D6CA1"/>
    <w:rsid w:val="0087115B"/>
    <w:rsid w:val="00880455"/>
    <w:rsid w:val="0090346E"/>
    <w:rsid w:val="009B7951"/>
    <w:rsid w:val="00B10F59"/>
    <w:rsid w:val="00C03092"/>
    <w:rsid w:val="00C73CA3"/>
    <w:rsid w:val="00D606E4"/>
    <w:rsid w:val="00DB4FEA"/>
    <w:rsid w:val="00DE7AD3"/>
    <w:rsid w:val="00E24664"/>
    <w:rsid w:val="00F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0566"/>
  <w15:chartTrackingRefBased/>
  <w15:docId w15:val="{0B2B95EF-7AAE-46CD-B0C1-3CF0870F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4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045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606E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7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53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0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15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64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8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721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16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CON19</b:Tag>
    <b:SourceType>DocumentFromInternetSite</b:SourceType>
    <b:Guid>{A6426B86-90B8-4058-B41D-7F9849D3B0C0}</b:Guid>
    <b:Title>CONTADURIA GENERAL DE LA NACION</b:Title>
    <b:Year>2019</b:Year>
    <b:Author>
      <b:Author>
        <b:Corporate>CONTADURIA GENERAL DE LA NACION</b:Corporate>
      </b:Author>
    </b:Author>
    <b:Month>Agosto</b:Month>
    <b:Day>28</b:Day>
    <b:URL>http://www.contaduria.gov.co/wps/wcm/connect/c5079258-7216-48e8-aecf-d116f0df2c59/Plan+General+de+Contablidad+versi%C3%B3n+2007.2+%28PGCP%29.pdf?MOD=AJPERES&amp;CACHEID=c5079258-7216-48e8-aecf-d116f0df2c59#targetText=Los%20Principios%20de%20Contabilidad%20P%C</b:URL>
    <b:RefOrder>18</b:RefOrder>
  </b:Source>
</b:Sources>
</file>

<file path=customXml/itemProps1.xml><?xml version="1.0" encoding="utf-8"?>
<ds:datastoreItem xmlns:ds="http://schemas.openxmlformats.org/officeDocument/2006/customXml" ds:itemID="{42CE6B13-40AE-468B-BF6A-75F75552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19</cp:revision>
  <dcterms:created xsi:type="dcterms:W3CDTF">2020-04-03T03:21:00Z</dcterms:created>
  <dcterms:modified xsi:type="dcterms:W3CDTF">2020-09-25T03:14:00Z</dcterms:modified>
</cp:coreProperties>
</file>