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2D" w:rsidRDefault="002E212D"/>
    <w:p w:rsidR="00737C31" w:rsidRDefault="00737C31" w:rsidP="00737C31">
      <w:pPr>
        <w:jc w:val="center"/>
        <w:outlineLvl w:val="0"/>
        <w:rPr>
          <w:rStyle w:val="a"/>
          <w:rFonts w:cs="Arial"/>
          <w:b/>
        </w:rPr>
      </w:pPr>
      <w:r w:rsidRPr="00737C31">
        <w:rPr>
          <w:rStyle w:val="a"/>
          <w:rFonts w:cs="Arial"/>
          <w:b/>
        </w:rPr>
        <w:t>Clasificación de recursos e ingresos que recibe el Estado</w:t>
      </w:r>
    </w:p>
    <w:p w:rsidR="00737C31" w:rsidRDefault="00737C31" w:rsidP="00737C31">
      <w:pPr>
        <w:jc w:val="center"/>
        <w:outlineLvl w:val="0"/>
        <w:rPr>
          <w:rStyle w:val="a"/>
          <w:rFonts w:cs="Arial"/>
          <w:b/>
        </w:rPr>
      </w:pPr>
    </w:p>
    <w:p w:rsidR="00737C31" w:rsidRDefault="00737C31" w:rsidP="00737C31">
      <w:pPr>
        <w:jc w:val="left"/>
        <w:outlineLvl w:val="0"/>
        <w:rPr>
          <w:rStyle w:val="a"/>
          <w:rFonts w:cs="Arial"/>
          <w:b/>
        </w:rPr>
      </w:pPr>
      <w:r>
        <w:rPr>
          <w:rStyle w:val="a"/>
          <w:rFonts w:cs="Arial"/>
          <w:b/>
        </w:rPr>
        <w:t>Instrucción:</w:t>
      </w:r>
      <w:r w:rsidRPr="00737C31">
        <w:rPr>
          <w:rStyle w:val="a"/>
          <w:rFonts w:cs="Arial"/>
        </w:rPr>
        <w:t xml:space="preserve"> realizar acordeón de 4 títulos. Va título general + instrucción + el acordeón acompañado de imágenes.</w:t>
      </w:r>
      <w:r>
        <w:rPr>
          <w:rStyle w:val="a"/>
          <w:rFonts w:cs="Arial"/>
          <w:b/>
        </w:rPr>
        <w:t xml:space="preserve"> </w:t>
      </w:r>
    </w:p>
    <w:p w:rsidR="00BD32CD" w:rsidRDefault="00BD32CD" w:rsidP="00737C31">
      <w:pPr>
        <w:jc w:val="left"/>
        <w:outlineLvl w:val="0"/>
        <w:rPr>
          <w:rStyle w:val="a"/>
          <w:rFonts w:cs="Arial"/>
          <w:b/>
        </w:rPr>
      </w:pPr>
    </w:p>
    <w:p w:rsidR="00BD32CD" w:rsidRPr="00BD32CD" w:rsidRDefault="00BD32CD" w:rsidP="00BD32CD">
      <w:pPr>
        <w:jc w:val="center"/>
        <w:outlineLvl w:val="0"/>
        <w:rPr>
          <w:rStyle w:val="a"/>
          <w:rFonts w:cs="Arial"/>
          <w:b/>
          <w:color w:val="4472C4" w:themeColor="accent5"/>
        </w:rPr>
      </w:pPr>
      <w:bookmarkStart w:id="0" w:name="_GoBack"/>
      <w:r w:rsidRPr="00BD32CD">
        <w:rPr>
          <w:rStyle w:val="a"/>
          <w:rFonts w:cs="Arial"/>
          <w:b/>
          <w:color w:val="4472C4" w:themeColor="accent5"/>
        </w:rPr>
        <w:t>Haga clic en cada título para ampliar la información:</w:t>
      </w:r>
    </w:p>
    <w:bookmarkEnd w:id="0"/>
    <w:p w:rsidR="00737C31" w:rsidRDefault="00737C31" w:rsidP="00737C31">
      <w:pPr>
        <w:jc w:val="center"/>
        <w:outlineLvl w:val="0"/>
        <w:rPr>
          <w:rStyle w:val="a"/>
          <w:rFonts w:cs="Arial"/>
          <w:b/>
        </w:rPr>
      </w:pPr>
    </w:p>
    <w:p w:rsidR="00737C31" w:rsidRDefault="00737C31" w:rsidP="00737C31">
      <w:pPr>
        <w:jc w:val="center"/>
        <w:outlineLvl w:val="0"/>
        <w:rPr>
          <w:rStyle w:val="a"/>
          <w:rFonts w:cs="Arial"/>
          <w:b/>
        </w:rPr>
      </w:pPr>
    </w:p>
    <w:p w:rsidR="00737C31" w:rsidRDefault="00737C31" w:rsidP="00737C31">
      <w:pPr>
        <w:jc w:val="center"/>
        <w:outlineLvl w:val="0"/>
        <w:rPr>
          <w:rStyle w:val="a"/>
          <w:rFonts w:cs="Arial"/>
        </w:rPr>
      </w:pPr>
    </w:p>
    <w:tbl>
      <w:tblPr>
        <w:tblStyle w:val="Tablanormal1"/>
        <w:tblW w:w="9606" w:type="dxa"/>
        <w:tblBorders>
          <w:top w:val="single" w:sz="18" w:space="0" w:color="323E4F" w:themeColor="text2" w:themeShade="BF"/>
          <w:left w:val="single" w:sz="18" w:space="0" w:color="323E4F" w:themeColor="text2" w:themeShade="BF"/>
          <w:bottom w:val="single" w:sz="18" w:space="0" w:color="323E4F" w:themeColor="text2" w:themeShade="BF"/>
          <w:right w:val="single" w:sz="18" w:space="0" w:color="323E4F" w:themeColor="text2" w:themeShade="BF"/>
          <w:insideH w:val="single" w:sz="18" w:space="0" w:color="323E4F" w:themeColor="text2" w:themeShade="BF"/>
          <w:insideV w:val="single" w:sz="18" w:space="0" w:color="323E4F" w:themeColor="text2" w:themeShade="BF"/>
        </w:tblBorders>
        <w:tblLayout w:type="fixed"/>
        <w:tblLook w:val="04A0" w:firstRow="1" w:lastRow="0" w:firstColumn="1" w:lastColumn="0" w:noHBand="0" w:noVBand="1"/>
      </w:tblPr>
      <w:tblGrid>
        <w:gridCol w:w="2518"/>
        <w:gridCol w:w="7088"/>
      </w:tblGrid>
      <w:tr w:rsidR="00737C31" w:rsidTr="00955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37C31" w:rsidRDefault="00737C31" w:rsidP="009553BA">
            <w:pPr>
              <w:jc w:val="center"/>
              <w:outlineLvl w:val="0"/>
              <w:rPr>
                <w:rStyle w:val="a"/>
                <w:rFonts w:cs="Arial"/>
                <w:sz w:val="20"/>
              </w:rPr>
            </w:pPr>
            <w:r w:rsidRPr="00AE411F">
              <w:rPr>
                <w:rStyle w:val="a"/>
                <w:rFonts w:cs="Arial"/>
                <w:sz w:val="20"/>
              </w:rPr>
              <w:t>I</w:t>
            </w:r>
            <w:r w:rsidRPr="00AE411F">
              <w:rPr>
                <w:rStyle w:val="a"/>
                <w:rFonts w:cs="Arial"/>
                <w:sz w:val="20"/>
              </w:rPr>
              <w:t>ngresos corrientes</w:t>
            </w:r>
          </w:p>
          <w:p w:rsidR="00802B04" w:rsidRPr="00AE411F" w:rsidRDefault="00802B04" w:rsidP="009553BA">
            <w:pPr>
              <w:jc w:val="center"/>
              <w:outlineLvl w:val="0"/>
              <w:rPr>
                <w:rStyle w:val="a"/>
                <w:rFonts w:cs="Arial"/>
                <w:sz w:val="20"/>
              </w:rPr>
            </w:pPr>
            <w:r w:rsidRPr="002E0EA7">
              <w:rPr>
                <w:rStyle w:val="a"/>
                <w:rFonts w:cs="Arial"/>
                <w:sz w:val="20"/>
                <w:highlight w:val="yellow"/>
              </w:rPr>
              <w:t>(INH_38192_55089)</w:t>
            </w:r>
          </w:p>
        </w:tc>
        <w:tc>
          <w:tcPr>
            <w:tcW w:w="7088" w:type="dxa"/>
          </w:tcPr>
          <w:p w:rsidR="00737C31" w:rsidRDefault="00737C31" w:rsidP="009553BA">
            <w:pPr>
              <w:outlineLvl w:val="0"/>
              <w:cnfStyle w:val="100000000000" w:firstRow="1" w:lastRow="0" w:firstColumn="0" w:lastColumn="0" w:oddVBand="0" w:evenVBand="0" w:oddHBand="0" w:evenHBand="0" w:firstRowFirstColumn="0" w:firstRowLastColumn="0" w:lastRowFirstColumn="0" w:lastRowLastColumn="0"/>
              <w:rPr>
                <w:rStyle w:val="a"/>
                <w:rFonts w:cs="Arial"/>
                <w:b w:val="0"/>
                <w:sz w:val="20"/>
              </w:rPr>
            </w:pPr>
            <w:r w:rsidRPr="00AE411F">
              <w:rPr>
                <w:rStyle w:val="a"/>
                <w:rFonts w:cs="Arial"/>
                <w:b w:val="0"/>
                <w:sz w:val="20"/>
              </w:rPr>
              <w:t>Son recursos que recibe el Estado en forma permanente, se dividen en:</w:t>
            </w:r>
          </w:p>
          <w:p w:rsidR="00737C31" w:rsidRPr="00AE411F" w:rsidRDefault="00737C31" w:rsidP="009553BA">
            <w:pPr>
              <w:outlineLvl w:val="0"/>
              <w:cnfStyle w:val="100000000000" w:firstRow="1" w:lastRow="0" w:firstColumn="0" w:lastColumn="0" w:oddVBand="0" w:evenVBand="0" w:oddHBand="0" w:evenHBand="0" w:firstRowFirstColumn="0" w:firstRowLastColumn="0" w:lastRowFirstColumn="0" w:lastRowLastColumn="0"/>
              <w:rPr>
                <w:rStyle w:val="a"/>
                <w:rFonts w:cs="Arial"/>
                <w:b w:val="0"/>
                <w:sz w:val="20"/>
              </w:rPr>
            </w:pPr>
          </w:p>
          <w:p w:rsidR="00737C31" w:rsidRDefault="00737C31" w:rsidP="00737C31">
            <w:pPr>
              <w:pStyle w:val="Prrafodelista"/>
              <w:numPr>
                <w:ilvl w:val="0"/>
                <w:numId w:val="3"/>
              </w:numPr>
              <w:outlineLvl w:val="0"/>
              <w:cnfStyle w:val="100000000000" w:firstRow="1" w:lastRow="0" w:firstColumn="0" w:lastColumn="0" w:oddVBand="0" w:evenVBand="0" w:oddHBand="0" w:evenHBand="0" w:firstRowFirstColumn="0" w:firstRowLastColumn="0" w:lastRowFirstColumn="0" w:lastRowLastColumn="0"/>
              <w:rPr>
                <w:rStyle w:val="a"/>
                <w:rFonts w:cs="Arial"/>
                <w:b w:val="0"/>
                <w:sz w:val="20"/>
              </w:rPr>
            </w:pPr>
            <w:r w:rsidRPr="00544531">
              <w:rPr>
                <w:rStyle w:val="a"/>
                <w:rFonts w:cs="Arial"/>
                <w:b w:val="0"/>
                <w:sz w:val="20"/>
              </w:rPr>
              <w:t>T</w:t>
            </w:r>
            <w:r w:rsidRPr="00544531">
              <w:rPr>
                <w:rStyle w:val="a"/>
                <w:rFonts w:cs="Arial"/>
                <w:b w:val="0"/>
                <w:sz w:val="20"/>
              </w:rPr>
              <w:t>ributarios</w:t>
            </w:r>
            <w:r w:rsidRPr="00544531">
              <w:rPr>
                <w:rStyle w:val="a"/>
                <w:rFonts w:cs="Arial"/>
                <w:b w:val="0"/>
                <w:sz w:val="20"/>
              </w:rPr>
              <w:t>. Son los impuestos directos como el impuesto a la renta y al patrimonio. También</w:t>
            </w:r>
            <w:r>
              <w:rPr>
                <w:rStyle w:val="a"/>
                <w:rFonts w:cs="Arial"/>
                <w:b w:val="0"/>
                <w:sz w:val="20"/>
              </w:rPr>
              <w:t xml:space="preserve"> están los impuestos indirectos</w:t>
            </w:r>
            <w:r w:rsidRPr="00544531">
              <w:rPr>
                <w:rStyle w:val="a"/>
                <w:rFonts w:cs="Arial"/>
                <w:b w:val="0"/>
                <w:sz w:val="20"/>
              </w:rPr>
              <w:t xml:space="preserve"> como el impuesto al valor agregado IVA y el gravamen a las transacciones financieras (por ej. el cuatro por mil).</w:t>
            </w:r>
          </w:p>
          <w:p w:rsidR="00737C31" w:rsidRPr="00544531" w:rsidRDefault="00737C31" w:rsidP="00737C31">
            <w:pPr>
              <w:pStyle w:val="Prrafodelista"/>
              <w:ind w:left="360"/>
              <w:outlineLvl w:val="0"/>
              <w:cnfStyle w:val="100000000000" w:firstRow="1" w:lastRow="0" w:firstColumn="0" w:lastColumn="0" w:oddVBand="0" w:evenVBand="0" w:oddHBand="0" w:evenHBand="0" w:firstRowFirstColumn="0" w:firstRowLastColumn="0" w:lastRowFirstColumn="0" w:lastRowLastColumn="0"/>
              <w:rPr>
                <w:rStyle w:val="a"/>
                <w:rFonts w:cs="Arial"/>
                <w:b w:val="0"/>
                <w:sz w:val="20"/>
              </w:rPr>
            </w:pPr>
          </w:p>
          <w:p w:rsidR="00737C31" w:rsidRPr="00544531" w:rsidRDefault="00737C31" w:rsidP="00737C31">
            <w:pPr>
              <w:pStyle w:val="Prrafodelista"/>
              <w:numPr>
                <w:ilvl w:val="0"/>
                <w:numId w:val="3"/>
              </w:numPr>
              <w:outlineLvl w:val="0"/>
              <w:cnfStyle w:val="100000000000" w:firstRow="1" w:lastRow="0" w:firstColumn="0" w:lastColumn="0" w:oddVBand="0" w:evenVBand="0" w:oddHBand="0" w:evenHBand="0" w:firstRowFirstColumn="0" w:firstRowLastColumn="0" w:lastRowFirstColumn="0" w:lastRowLastColumn="0"/>
              <w:rPr>
                <w:rStyle w:val="a"/>
                <w:rFonts w:cs="Arial"/>
                <w:sz w:val="20"/>
              </w:rPr>
            </w:pPr>
            <w:r w:rsidRPr="00544531">
              <w:rPr>
                <w:rStyle w:val="a"/>
                <w:rFonts w:cs="Arial"/>
                <w:b w:val="0"/>
                <w:sz w:val="20"/>
              </w:rPr>
              <w:t>N</w:t>
            </w:r>
            <w:r w:rsidRPr="00544531">
              <w:rPr>
                <w:rStyle w:val="a"/>
                <w:rFonts w:cs="Arial"/>
                <w:b w:val="0"/>
                <w:sz w:val="20"/>
              </w:rPr>
              <w:t>o tributarios</w:t>
            </w:r>
            <w:r w:rsidRPr="00544531">
              <w:rPr>
                <w:rStyle w:val="a"/>
                <w:rFonts w:cs="Arial"/>
                <w:b w:val="0"/>
                <w:sz w:val="20"/>
              </w:rPr>
              <w:t>. Tasas, multas, contribuciones y demás ingresos como las rentas contractuales y las transferencias del sector descentralizado de la nación</w:t>
            </w:r>
            <w:r>
              <w:rPr>
                <w:rStyle w:val="a"/>
                <w:rFonts w:cs="Arial"/>
                <w:b w:val="0"/>
                <w:sz w:val="20"/>
              </w:rPr>
              <w:t>.</w:t>
            </w:r>
          </w:p>
        </w:tc>
      </w:tr>
      <w:tr w:rsidR="00737C31" w:rsidTr="00955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37C31" w:rsidRDefault="00737C31" w:rsidP="009553BA">
            <w:pPr>
              <w:jc w:val="center"/>
              <w:outlineLvl w:val="0"/>
              <w:rPr>
                <w:rStyle w:val="a"/>
                <w:rFonts w:cs="Arial"/>
                <w:sz w:val="20"/>
              </w:rPr>
            </w:pPr>
            <w:r w:rsidRPr="00AE411F">
              <w:rPr>
                <w:rStyle w:val="a"/>
                <w:rFonts w:cs="Arial"/>
                <w:sz w:val="20"/>
              </w:rPr>
              <w:t>R</w:t>
            </w:r>
            <w:r w:rsidRPr="00AE411F">
              <w:rPr>
                <w:rStyle w:val="a"/>
                <w:rFonts w:cs="Arial"/>
                <w:sz w:val="20"/>
              </w:rPr>
              <w:t>ecursos de capital</w:t>
            </w:r>
          </w:p>
          <w:p w:rsidR="002E0EA7" w:rsidRPr="00AE411F" w:rsidRDefault="002E0EA7" w:rsidP="009553BA">
            <w:pPr>
              <w:jc w:val="center"/>
              <w:outlineLvl w:val="0"/>
              <w:rPr>
                <w:rStyle w:val="a"/>
                <w:rFonts w:cs="Arial"/>
                <w:sz w:val="20"/>
              </w:rPr>
            </w:pPr>
            <w:r w:rsidRPr="002E0EA7">
              <w:rPr>
                <w:rStyle w:val="a"/>
                <w:rFonts w:cs="Arial"/>
                <w:sz w:val="20"/>
                <w:highlight w:val="yellow"/>
              </w:rPr>
              <w:t>(IST_22696_02422)</w:t>
            </w:r>
          </w:p>
        </w:tc>
        <w:tc>
          <w:tcPr>
            <w:tcW w:w="7088" w:type="dxa"/>
          </w:tcPr>
          <w:p w:rsidR="00737C31" w:rsidRDefault="00737C31" w:rsidP="009553BA">
            <w:p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sidRPr="00AE411F">
              <w:rPr>
                <w:rStyle w:val="a"/>
                <w:rFonts w:cs="Arial"/>
                <w:sz w:val="20"/>
              </w:rPr>
              <w:t xml:space="preserve">Son aquellas entradas ocasionales que recibe la nación por ciertas operaciones de crédito público o por los activos que son parte de la nación. </w:t>
            </w:r>
          </w:p>
          <w:p w:rsidR="00737C31" w:rsidRDefault="00737C31" w:rsidP="009553BA">
            <w:p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p>
          <w:p w:rsidR="00737C31" w:rsidRPr="00AE411F" w:rsidRDefault="00737C31" w:rsidP="009553BA">
            <w:p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sidRPr="00AE411F">
              <w:rPr>
                <w:rStyle w:val="a"/>
                <w:rFonts w:cs="Arial"/>
                <w:sz w:val="20"/>
              </w:rPr>
              <w:t>Estos recursos de capital se pueden clasificar en:</w:t>
            </w:r>
          </w:p>
          <w:p w:rsidR="00737C31" w:rsidRPr="00AE411F" w:rsidRDefault="00737C31" w:rsidP="00737C31">
            <w:pPr>
              <w:pStyle w:val="Prrafodelista"/>
              <w:numPr>
                <w:ilvl w:val="0"/>
                <w:numId w:val="1"/>
              </w:num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Pr>
                <w:rStyle w:val="a"/>
                <w:rFonts w:cs="Arial"/>
                <w:sz w:val="20"/>
              </w:rPr>
              <w:t>Recursos del balance del t</w:t>
            </w:r>
            <w:r w:rsidRPr="00AE411F">
              <w:rPr>
                <w:rStyle w:val="a"/>
                <w:rFonts w:cs="Arial"/>
                <w:sz w:val="20"/>
              </w:rPr>
              <w:t>esoro. Definidos como el superávit que resulta luego de la ejecución anual presupuestal del año inmediatamente anterior.</w:t>
            </w:r>
          </w:p>
          <w:p w:rsidR="00737C31" w:rsidRPr="00AE411F" w:rsidRDefault="00737C31" w:rsidP="00737C31">
            <w:pPr>
              <w:pStyle w:val="Prrafodelista"/>
              <w:numPr>
                <w:ilvl w:val="0"/>
                <w:numId w:val="1"/>
              </w:num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sidRPr="00AE411F">
              <w:rPr>
                <w:rStyle w:val="a"/>
                <w:rFonts w:cs="Arial"/>
                <w:sz w:val="20"/>
              </w:rPr>
              <w:t>Recursos del crédito interno y externo.</w:t>
            </w:r>
          </w:p>
          <w:p w:rsidR="00737C31" w:rsidRPr="00AE411F" w:rsidRDefault="00737C31" w:rsidP="00737C31">
            <w:pPr>
              <w:pStyle w:val="Prrafodelista"/>
              <w:numPr>
                <w:ilvl w:val="0"/>
                <w:numId w:val="1"/>
              </w:num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sidRPr="00AE411F">
              <w:rPr>
                <w:rStyle w:val="a"/>
                <w:rFonts w:cs="Arial"/>
                <w:sz w:val="20"/>
              </w:rPr>
              <w:t>Rendimientos de operaciones financieras</w:t>
            </w:r>
            <w:r>
              <w:rPr>
                <w:rStyle w:val="a"/>
                <w:rFonts w:cs="Arial"/>
                <w:sz w:val="20"/>
              </w:rPr>
              <w:t>.</w:t>
            </w:r>
          </w:p>
          <w:p w:rsidR="00737C31" w:rsidRPr="00AE411F" w:rsidRDefault="00737C31" w:rsidP="00737C31">
            <w:pPr>
              <w:pStyle w:val="Prrafodelista"/>
              <w:numPr>
                <w:ilvl w:val="0"/>
                <w:numId w:val="1"/>
              </w:num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sidRPr="00AE411F">
              <w:rPr>
                <w:rStyle w:val="a"/>
                <w:rFonts w:cs="Arial"/>
                <w:sz w:val="20"/>
              </w:rPr>
              <w:t>El mayor valor de pesos originado por las diferencias de cambio.</w:t>
            </w:r>
          </w:p>
          <w:p w:rsidR="00737C31" w:rsidRPr="00AE411F" w:rsidRDefault="00737C31" w:rsidP="00737C31">
            <w:pPr>
              <w:pStyle w:val="Prrafodelista"/>
              <w:numPr>
                <w:ilvl w:val="0"/>
                <w:numId w:val="1"/>
              </w:num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sidRPr="00AE411F">
              <w:rPr>
                <w:rStyle w:val="a"/>
                <w:rFonts w:cs="Arial"/>
                <w:sz w:val="20"/>
              </w:rPr>
              <w:t>Donaciones</w:t>
            </w:r>
            <w:r>
              <w:rPr>
                <w:rStyle w:val="a"/>
                <w:rFonts w:cs="Arial"/>
                <w:sz w:val="20"/>
              </w:rPr>
              <w:t>.</w:t>
            </w:r>
          </w:p>
          <w:p w:rsidR="00737C31" w:rsidRPr="00AE411F" w:rsidRDefault="00737C31" w:rsidP="00737C31">
            <w:pPr>
              <w:pStyle w:val="Prrafodelista"/>
              <w:numPr>
                <w:ilvl w:val="0"/>
                <w:numId w:val="1"/>
              </w:num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sidRPr="00AE411F">
              <w:rPr>
                <w:rStyle w:val="a"/>
                <w:rFonts w:cs="Arial"/>
                <w:sz w:val="20"/>
              </w:rPr>
              <w:t xml:space="preserve">Excedentes financieros de los establecimientos públicos, las empresas industriales y comerciales </w:t>
            </w:r>
            <w:r>
              <w:rPr>
                <w:rStyle w:val="a"/>
                <w:rFonts w:cs="Arial"/>
                <w:sz w:val="20"/>
              </w:rPr>
              <w:t>del Estado y las sociedades de e</w:t>
            </w:r>
            <w:r w:rsidRPr="00AE411F">
              <w:rPr>
                <w:rStyle w:val="a"/>
                <w:rFonts w:cs="Arial"/>
                <w:sz w:val="20"/>
              </w:rPr>
              <w:t>conomía mixta.</w:t>
            </w:r>
          </w:p>
          <w:p w:rsidR="00737C31" w:rsidRPr="00AE411F" w:rsidRDefault="00737C31" w:rsidP="00737C31">
            <w:pPr>
              <w:pStyle w:val="Prrafodelista"/>
              <w:numPr>
                <w:ilvl w:val="0"/>
                <w:numId w:val="1"/>
              </w:num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sidRPr="00AE411F">
              <w:rPr>
                <w:rStyle w:val="a"/>
                <w:rFonts w:cs="Arial"/>
                <w:sz w:val="20"/>
              </w:rPr>
              <w:t>Utilidades del Banco de la República, descontando las reservas de estabilización cambiaria y monetaria.</w:t>
            </w:r>
          </w:p>
        </w:tc>
      </w:tr>
      <w:tr w:rsidR="00737C31" w:rsidTr="009553BA">
        <w:tc>
          <w:tcPr>
            <w:cnfStyle w:val="001000000000" w:firstRow="0" w:lastRow="0" w:firstColumn="1" w:lastColumn="0" w:oddVBand="0" w:evenVBand="0" w:oddHBand="0" w:evenHBand="0" w:firstRowFirstColumn="0" w:firstRowLastColumn="0" w:lastRowFirstColumn="0" w:lastRowLastColumn="0"/>
            <w:tcW w:w="2518" w:type="dxa"/>
            <w:vAlign w:val="center"/>
          </w:tcPr>
          <w:p w:rsidR="00737C31" w:rsidRDefault="00737C31" w:rsidP="009553BA">
            <w:pPr>
              <w:jc w:val="center"/>
              <w:outlineLvl w:val="0"/>
              <w:rPr>
                <w:rStyle w:val="a"/>
                <w:rFonts w:cs="Arial"/>
                <w:sz w:val="20"/>
              </w:rPr>
            </w:pPr>
            <w:r w:rsidRPr="00AE411F">
              <w:rPr>
                <w:rStyle w:val="a"/>
                <w:rFonts w:cs="Arial"/>
                <w:sz w:val="20"/>
              </w:rPr>
              <w:t>R</w:t>
            </w:r>
            <w:r w:rsidRPr="00AE411F">
              <w:rPr>
                <w:rStyle w:val="a"/>
                <w:rFonts w:cs="Arial"/>
                <w:sz w:val="20"/>
              </w:rPr>
              <w:t>entas parafiscales y fondos especiales</w:t>
            </w:r>
          </w:p>
          <w:p w:rsidR="00BC35FB" w:rsidRPr="00AE411F" w:rsidRDefault="00BC35FB" w:rsidP="009553BA">
            <w:pPr>
              <w:jc w:val="center"/>
              <w:outlineLvl w:val="0"/>
              <w:rPr>
                <w:rStyle w:val="a"/>
                <w:rFonts w:cs="Arial"/>
                <w:b w:val="0"/>
                <w:sz w:val="20"/>
              </w:rPr>
            </w:pPr>
            <w:r w:rsidRPr="00BC35FB">
              <w:rPr>
                <w:rStyle w:val="a"/>
                <w:rFonts w:cs="Arial"/>
                <w:sz w:val="20"/>
                <w:highlight w:val="yellow"/>
              </w:rPr>
              <w:t>(ISS_17780_00662)</w:t>
            </w:r>
          </w:p>
        </w:tc>
        <w:tc>
          <w:tcPr>
            <w:tcW w:w="7088" w:type="dxa"/>
          </w:tcPr>
          <w:p w:rsidR="00737C31" w:rsidRPr="00AE411F" w:rsidRDefault="00737C31" w:rsidP="00737C31">
            <w:pPr>
              <w:pStyle w:val="Prrafodelista"/>
              <w:numPr>
                <w:ilvl w:val="0"/>
                <w:numId w:val="2"/>
              </w:numPr>
              <w:outlineLvl w:val="0"/>
              <w:cnfStyle w:val="000000000000" w:firstRow="0" w:lastRow="0" w:firstColumn="0" w:lastColumn="0" w:oddVBand="0" w:evenVBand="0" w:oddHBand="0" w:evenHBand="0" w:firstRowFirstColumn="0" w:firstRowLastColumn="0" w:lastRowFirstColumn="0" w:lastRowLastColumn="0"/>
              <w:rPr>
                <w:rStyle w:val="a"/>
                <w:rFonts w:cs="Arial"/>
                <w:sz w:val="20"/>
              </w:rPr>
            </w:pPr>
            <w:r w:rsidRPr="00AE411F">
              <w:rPr>
                <w:rStyle w:val="a"/>
                <w:rFonts w:cs="Arial"/>
                <w:sz w:val="20"/>
              </w:rPr>
              <w:t>Las contribuciones o rentas parafiscales son los gravámenes con carácter obligatorio por ley, que afectan a un determinado y único grupo social o económico y se utilizan para beneficio del propio sector.</w:t>
            </w:r>
          </w:p>
          <w:p w:rsidR="00737C31" w:rsidRPr="00AE411F" w:rsidRDefault="00737C31" w:rsidP="00737C31">
            <w:pPr>
              <w:pStyle w:val="Prrafodelista"/>
              <w:numPr>
                <w:ilvl w:val="0"/>
                <w:numId w:val="2"/>
              </w:numPr>
              <w:outlineLvl w:val="0"/>
              <w:cnfStyle w:val="000000000000" w:firstRow="0" w:lastRow="0" w:firstColumn="0" w:lastColumn="0" w:oddVBand="0" w:evenVBand="0" w:oddHBand="0" w:evenHBand="0" w:firstRowFirstColumn="0" w:firstRowLastColumn="0" w:lastRowFirstColumn="0" w:lastRowLastColumn="0"/>
              <w:rPr>
                <w:rStyle w:val="a"/>
                <w:rFonts w:cs="Arial"/>
                <w:sz w:val="20"/>
              </w:rPr>
            </w:pPr>
            <w:r w:rsidRPr="00AE411F">
              <w:rPr>
                <w:rStyle w:val="a"/>
                <w:rFonts w:cs="Arial"/>
                <w:sz w:val="20"/>
              </w:rPr>
              <w:t>Los fondo</w:t>
            </w:r>
            <w:r>
              <w:rPr>
                <w:rStyle w:val="a"/>
                <w:rFonts w:cs="Arial"/>
                <w:sz w:val="20"/>
              </w:rPr>
              <w:t>s especiales, aquellos recursos definidos por ley y</w:t>
            </w:r>
            <w:r w:rsidRPr="00AE411F">
              <w:rPr>
                <w:rStyle w:val="a"/>
                <w:rFonts w:cs="Arial"/>
                <w:sz w:val="20"/>
              </w:rPr>
              <w:t xml:space="preserve"> que recibe el Estado para la prestación de determinado servicio, así como los provenientes de los fondos creados por el legislador como el Fondo Nacional de Regalías, el Fondo de Solidaridad y Garantías en Salud (Fosyga), el Fondo de Solidaridad Pensional.</w:t>
            </w:r>
          </w:p>
        </w:tc>
      </w:tr>
      <w:tr w:rsidR="00737C31" w:rsidTr="00955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737C31" w:rsidRDefault="00737C31" w:rsidP="009553BA">
            <w:pPr>
              <w:jc w:val="center"/>
              <w:outlineLvl w:val="0"/>
              <w:rPr>
                <w:rStyle w:val="a"/>
                <w:rFonts w:cs="Arial"/>
                <w:sz w:val="20"/>
              </w:rPr>
            </w:pPr>
            <w:r>
              <w:rPr>
                <w:rStyle w:val="a"/>
                <w:rFonts w:cs="Arial"/>
                <w:sz w:val="20"/>
              </w:rPr>
              <w:t>E</w:t>
            </w:r>
            <w:r w:rsidRPr="00AE411F">
              <w:rPr>
                <w:rStyle w:val="a"/>
                <w:rFonts w:cs="Arial"/>
                <w:sz w:val="20"/>
              </w:rPr>
              <w:t>stablecimientos públicos nacionales</w:t>
            </w:r>
          </w:p>
          <w:p w:rsidR="00C2504E" w:rsidRPr="00AE411F" w:rsidRDefault="00C2504E" w:rsidP="009553BA">
            <w:pPr>
              <w:jc w:val="center"/>
              <w:outlineLvl w:val="0"/>
              <w:rPr>
                <w:rStyle w:val="a"/>
                <w:rFonts w:cs="Arial"/>
                <w:b w:val="0"/>
                <w:sz w:val="20"/>
              </w:rPr>
            </w:pPr>
            <w:r w:rsidRPr="00C2504E">
              <w:rPr>
                <w:rStyle w:val="a"/>
                <w:rFonts w:cs="Arial"/>
                <w:sz w:val="20"/>
                <w:highlight w:val="yellow"/>
              </w:rPr>
              <w:t>(IST_7696_68119)</w:t>
            </w:r>
          </w:p>
        </w:tc>
        <w:tc>
          <w:tcPr>
            <w:tcW w:w="7088" w:type="dxa"/>
          </w:tcPr>
          <w:p w:rsidR="00737C31" w:rsidRPr="00AE411F" w:rsidRDefault="00737C31" w:rsidP="009553BA">
            <w:pPr>
              <w:outlineLvl w:val="0"/>
              <w:cnfStyle w:val="000000100000" w:firstRow="0" w:lastRow="0" w:firstColumn="0" w:lastColumn="0" w:oddVBand="0" w:evenVBand="0" w:oddHBand="1" w:evenHBand="0" w:firstRowFirstColumn="0" w:firstRowLastColumn="0" w:lastRowFirstColumn="0" w:lastRowLastColumn="0"/>
              <w:rPr>
                <w:rStyle w:val="a"/>
                <w:rFonts w:cs="Arial"/>
                <w:sz w:val="20"/>
              </w:rPr>
            </w:pPr>
            <w:r w:rsidRPr="00AE411F">
              <w:rPr>
                <w:rStyle w:val="a"/>
                <w:rFonts w:cs="Arial"/>
                <w:sz w:val="20"/>
              </w:rPr>
              <w:t>El E</w:t>
            </w:r>
            <w:r>
              <w:rPr>
                <w:rStyle w:val="a"/>
                <w:rFonts w:cs="Arial"/>
                <w:sz w:val="20"/>
              </w:rPr>
              <w:t>statuto Orgánico de Presupuesto</w:t>
            </w:r>
            <w:r w:rsidRPr="00AE411F">
              <w:rPr>
                <w:rStyle w:val="a"/>
                <w:rFonts w:cs="Arial"/>
                <w:sz w:val="20"/>
              </w:rPr>
              <w:t xml:space="preserve"> establece que el Presupuesto de Rentas y Recursos de </w:t>
            </w:r>
            <w:r>
              <w:rPr>
                <w:rStyle w:val="a"/>
                <w:rFonts w:cs="Arial"/>
                <w:sz w:val="20"/>
              </w:rPr>
              <w:t>capital</w:t>
            </w:r>
            <w:r w:rsidRPr="00AE411F">
              <w:rPr>
                <w:rStyle w:val="a"/>
                <w:rFonts w:cs="Arial"/>
                <w:sz w:val="20"/>
              </w:rPr>
              <w:t xml:space="preserve"> debe incluir</w:t>
            </w:r>
            <w:r>
              <w:rPr>
                <w:rStyle w:val="a"/>
                <w:rFonts w:cs="Arial"/>
                <w:sz w:val="20"/>
              </w:rPr>
              <w:t>,</w:t>
            </w:r>
            <w:r w:rsidRPr="00AE411F">
              <w:rPr>
                <w:rStyle w:val="a"/>
                <w:rFonts w:cs="Arial"/>
                <w:sz w:val="20"/>
              </w:rPr>
              <w:t xml:space="preserve"> además, los ingresos obtenidos por los establecimientos públicos nacionales.</w:t>
            </w:r>
          </w:p>
        </w:tc>
      </w:tr>
    </w:tbl>
    <w:p w:rsidR="00737C31" w:rsidRDefault="00737C31"/>
    <w:sectPr w:rsidR="00737C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C5" w:rsidRDefault="002C01C5" w:rsidP="00737C31">
      <w:r>
        <w:separator/>
      </w:r>
    </w:p>
  </w:endnote>
  <w:endnote w:type="continuationSeparator" w:id="0">
    <w:p w:rsidR="002C01C5" w:rsidRDefault="002C01C5" w:rsidP="0073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C5" w:rsidRDefault="002C01C5" w:rsidP="00737C31">
      <w:r>
        <w:separator/>
      </w:r>
    </w:p>
  </w:footnote>
  <w:footnote w:type="continuationSeparator" w:id="0">
    <w:p w:rsidR="002C01C5" w:rsidRDefault="002C01C5" w:rsidP="00737C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02E"/>
    <w:multiLevelType w:val="hybridMultilevel"/>
    <w:tmpl w:val="ED72B6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3764FC4"/>
    <w:multiLevelType w:val="hybridMultilevel"/>
    <w:tmpl w:val="C85AB7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6FC38CC"/>
    <w:multiLevelType w:val="hybridMultilevel"/>
    <w:tmpl w:val="3DE4D610"/>
    <w:lvl w:ilvl="0" w:tplc="5C549D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31"/>
    <w:rsid w:val="002C01C5"/>
    <w:rsid w:val="002E0EA7"/>
    <w:rsid w:val="002E212D"/>
    <w:rsid w:val="00394659"/>
    <w:rsid w:val="00737C31"/>
    <w:rsid w:val="00802B04"/>
    <w:rsid w:val="00BC35FB"/>
    <w:rsid w:val="00BD32CD"/>
    <w:rsid w:val="00C2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E3AE"/>
  <w15:chartTrackingRefBased/>
  <w15:docId w15:val="{2E060F05-5EC9-4812-8D39-2EB8BB5B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31"/>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C31"/>
    <w:pPr>
      <w:ind w:left="720"/>
      <w:contextualSpacing/>
    </w:pPr>
  </w:style>
  <w:style w:type="table" w:styleId="Tablanormal1">
    <w:name w:val="Plain Table 1"/>
    <w:basedOn w:val="Tablanormal"/>
    <w:uiPriority w:val="99"/>
    <w:rsid w:val="00737C31"/>
    <w:pPr>
      <w:spacing w:after="0" w:line="240" w:lineRule="auto"/>
    </w:pPr>
    <w:rPr>
      <w:rFonts w:eastAsiaTheme="minorEastAsia"/>
      <w:sz w:val="24"/>
      <w:szCs w:val="24"/>
      <w:lang w:val="es-ES_tradnl"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
    <w:name w:val="a"/>
    <w:basedOn w:val="Fuentedeprrafopredeter"/>
    <w:rsid w:val="00737C31"/>
  </w:style>
  <w:style w:type="paragraph" w:styleId="Encabezado">
    <w:name w:val="header"/>
    <w:basedOn w:val="Normal"/>
    <w:link w:val="EncabezadoCar"/>
    <w:uiPriority w:val="99"/>
    <w:unhideWhenUsed/>
    <w:rsid w:val="00737C31"/>
    <w:pPr>
      <w:tabs>
        <w:tab w:val="center" w:pos="4419"/>
        <w:tab w:val="right" w:pos="8838"/>
      </w:tabs>
    </w:pPr>
  </w:style>
  <w:style w:type="character" w:customStyle="1" w:styleId="EncabezadoCar">
    <w:name w:val="Encabezado Car"/>
    <w:basedOn w:val="Fuentedeprrafopredeter"/>
    <w:link w:val="Encabezado"/>
    <w:uiPriority w:val="99"/>
    <w:rsid w:val="00737C31"/>
    <w:rPr>
      <w:rFonts w:ascii="Arial" w:eastAsia="Times New Roman" w:hAnsi="Arial" w:cs="Times New Roman"/>
      <w:sz w:val="24"/>
      <w:szCs w:val="20"/>
      <w:lang w:val="es-CO" w:eastAsia="es-CO"/>
    </w:rPr>
  </w:style>
  <w:style w:type="paragraph" w:styleId="Piedepgina">
    <w:name w:val="footer"/>
    <w:basedOn w:val="Normal"/>
    <w:link w:val="PiedepginaCar"/>
    <w:uiPriority w:val="99"/>
    <w:unhideWhenUsed/>
    <w:rsid w:val="00737C31"/>
    <w:pPr>
      <w:tabs>
        <w:tab w:val="center" w:pos="4419"/>
        <w:tab w:val="right" w:pos="8838"/>
      </w:tabs>
    </w:pPr>
  </w:style>
  <w:style w:type="character" w:customStyle="1" w:styleId="PiedepginaCar">
    <w:name w:val="Pie de página Car"/>
    <w:basedOn w:val="Fuentedeprrafopredeter"/>
    <w:link w:val="Piedepgina"/>
    <w:uiPriority w:val="99"/>
    <w:rsid w:val="00737C31"/>
    <w:rPr>
      <w:rFonts w:ascii="Arial" w:eastAsia="Times New Roman" w:hAnsi="Arial" w:cs="Times New Roman"/>
      <w:sz w:val="24"/>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026">
      <w:bodyDiv w:val="1"/>
      <w:marLeft w:val="0"/>
      <w:marRight w:val="0"/>
      <w:marTop w:val="0"/>
      <w:marBottom w:val="0"/>
      <w:divBdr>
        <w:top w:val="none" w:sz="0" w:space="0" w:color="auto"/>
        <w:left w:val="none" w:sz="0" w:space="0" w:color="auto"/>
        <w:bottom w:val="none" w:sz="0" w:space="0" w:color="auto"/>
        <w:right w:val="none" w:sz="0" w:space="0" w:color="auto"/>
      </w:divBdr>
      <w:divsChild>
        <w:div w:id="616179481">
          <w:marLeft w:val="0"/>
          <w:marRight w:val="0"/>
          <w:marTop w:val="345"/>
          <w:marBottom w:val="0"/>
          <w:divBdr>
            <w:top w:val="none" w:sz="0" w:space="0" w:color="auto"/>
            <w:left w:val="none" w:sz="0" w:space="0" w:color="auto"/>
            <w:bottom w:val="none" w:sz="0" w:space="0" w:color="auto"/>
            <w:right w:val="none" w:sz="0" w:space="0" w:color="auto"/>
          </w:divBdr>
          <w:divsChild>
            <w:div w:id="2283430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288797">
      <w:bodyDiv w:val="1"/>
      <w:marLeft w:val="0"/>
      <w:marRight w:val="0"/>
      <w:marTop w:val="0"/>
      <w:marBottom w:val="0"/>
      <w:divBdr>
        <w:top w:val="none" w:sz="0" w:space="0" w:color="auto"/>
        <w:left w:val="none" w:sz="0" w:space="0" w:color="auto"/>
        <w:bottom w:val="none" w:sz="0" w:space="0" w:color="auto"/>
        <w:right w:val="none" w:sz="0" w:space="0" w:color="auto"/>
      </w:divBdr>
      <w:divsChild>
        <w:div w:id="856583640">
          <w:marLeft w:val="0"/>
          <w:marRight w:val="0"/>
          <w:marTop w:val="345"/>
          <w:marBottom w:val="0"/>
          <w:divBdr>
            <w:top w:val="none" w:sz="0" w:space="0" w:color="auto"/>
            <w:left w:val="none" w:sz="0" w:space="0" w:color="auto"/>
            <w:bottom w:val="none" w:sz="0" w:space="0" w:color="auto"/>
            <w:right w:val="none" w:sz="0" w:space="0" w:color="auto"/>
          </w:divBdr>
          <w:divsChild>
            <w:div w:id="17454524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0091944">
      <w:bodyDiv w:val="1"/>
      <w:marLeft w:val="0"/>
      <w:marRight w:val="0"/>
      <w:marTop w:val="0"/>
      <w:marBottom w:val="0"/>
      <w:divBdr>
        <w:top w:val="none" w:sz="0" w:space="0" w:color="auto"/>
        <w:left w:val="none" w:sz="0" w:space="0" w:color="auto"/>
        <w:bottom w:val="none" w:sz="0" w:space="0" w:color="auto"/>
        <w:right w:val="none" w:sz="0" w:space="0" w:color="auto"/>
      </w:divBdr>
      <w:divsChild>
        <w:div w:id="1307055331">
          <w:marLeft w:val="0"/>
          <w:marRight w:val="0"/>
          <w:marTop w:val="345"/>
          <w:marBottom w:val="0"/>
          <w:divBdr>
            <w:top w:val="none" w:sz="0" w:space="0" w:color="auto"/>
            <w:left w:val="none" w:sz="0" w:space="0" w:color="auto"/>
            <w:bottom w:val="none" w:sz="0" w:space="0" w:color="auto"/>
            <w:right w:val="none" w:sz="0" w:space="0" w:color="auto"/>
          </w:divBdr>
          <w:divsChild>
            <w:div w:id="20050850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351</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7</cp:revision>
  <dcterms:created xsi:type="dcterms:W3CDTF">2020-04-02T20:45:00Z</dcterms:created>
  <dcterms:modified xsi:type="dcterms:W3CDTF">2020-04-02T21:15:00Z</dcterms:modified>
</cp:coreProperties>
</file>