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34B0B" w14:textId="77777777" w:rsidR="009555D0" w:rsidRDefault="009555D0" w:rsidP="009555D0">
      <w:pPr>
        <w:jc w:val="center"/>
        <w:rPr>
          <w:rFonts w:cs="Arial"/>
          <w:b/>
          <w:color w:val="000000"/>
          <w:shd w:val="clear" w:color="auto" w:fill="FFFFFF"/>
        </w:rPr>
      </w:pPr>
      <w:r w:rsidRPr="009555D0">
        <w:rPr>
          <w:rFonts w:cs="Arial"/>
          <w:b/>
          <w:color w:val="000000"/>
          <w:shd w:val="clear" w:color="auto" w:fill="FFFFFF"/>
        </w:rPr>
        <w:t>Etapa poscontractual</w:t>
      </w:r>
    </w:p>
    <w:p w14:paraId="55A2DB88" w14:textId="77777777" w:rsidR="00B02B0C" w:rsidRDefault="00B02B0C" w:rsidP="009555D0">
      <w:pPr>
        <w:jc w:val="center"/>
        <w:rPr>
          <w:rFonts w:cs="Arial"/>
          <w:b/>
          <w:color w:val="000000"/>
          <w:shd w:val="clear" w:color="auto" w:fill="FFFFFF"/>
        </w:rPr>
      </w:pPr>
    </w:p>
    <w:p w14:paraId="63CCD7E1" w14:textId="58DBED25" w:rsidR="00B02B0C" w:rsidRDefault="00B02B0C" w:rsidP="00B02B0C">
      <w:pPr>
        <w:jc w:val="left"/>
        <w:rPr>
          <w:noProof/>
          <w:lang w:val="es-MX" w:eastAsia="en-US"/>
        </w:rPr>
      </w:pPr>
      <w:r>
        <w:rPr>
          <w:rFonts w:cs="Arial"/>
          <w:b/>
          <w:color w:val="000000"/>
          <w:shd w:val="clear" w:color="auto" w:fill="FFFFFF"/>
        </w:rPr>
        <w:t xml:space="preserve">Instrucción: </w:t>
      </w:r>
      <w:r w:rsidRPr="00B02B0C">
        <w:rPr>
          <w:rFonts w:cs="Arial"/>
          <w:color w:val="000000"/>
          <w:shd w:val="clear" w:color="auto" w:fill="FFFFFF"/>
        </w:rPr>
        <w:t xml:space="preserve">realizar </w:t>
      </w:r>
      <w:r w:rsidR="00D8254E">
        <w:rPr>
          <w:rFonts w:cs="Arial"/>
          <w:color w:val="000000"/>
          <w:shd w:val="clear" w:color="auto" w:fill="FFFFFF"/>
        </w:rPr>
        <w:t>interactividad</w:t>
      </w:r>
      <w:r w:rsidRPr="00B02B0C">
        <w:rPr>
          <w:rFonts w:cs="Arial"/>
          <w:color w:val="000000"/>
          <w:shd w:val="clear" w:color="auto" w:fill="FFFFFF"/>
        </w:rPr>
        <w:t xml:space="preserve"> con la plantilla: </w:t>
      </w:r>
      <w:proofErr w:type="spellStart"/>
      <w:r w:rsidR="004C2F41" w:rsidRPr="004C2F41">
        <w:rPr>
          <w:rFonts w:cs="Arial"/>
          <w:color w:val="FF0000"/>
          <w:shd w:val="clear" w:color="auto" w:fill="FFFFFF"/>
        </w:rPr>
        <w:t>Edge</w:t>
      </w:r>
      <w:proofErr w:type="spellEnd"/>
      <w:r w:rsidR="004C2F41" w:rsidRPr="004C2F41">
        <w:rPr>
          <w:rFonts w:cs="Arial"/>
          <w:color w:val="FF0000"/>
          <w:shd w:val="clear" w:color="auto" w:fill="FFFFFF"/>
        </w:rPr>
        <w:t>/4 ítems/elementos.</w:t>
      </w:r>
      <w:r w:rsidR="004C2F41" w:rsidRPr="00E84434">
        <w:rPr>
          <w:rFonts w:cs="Arial"/>
          <w:shd w:val="clear" w:color="auto" w:fill="FFFFFF"/>
        </w:rPr>
        <w:t xml:space="preserve"> </w:t>
      </w:r>
      <w:r w:rsidR="00E84434" w:rsidRPr="00E84434">
        <w:rPr>
          <w:rFonts w:cs="Arial"/>
          <w:shd w:val="clear" w:color="auto" w:fill="FFFFFF"/>
        </w:rPr>
        <w:t>V</w:t>
      </w:r>
      <w:r w:rsidRPr="00E84434">
        <w:rPr>
          <w:noProof/>
          <w:lang w:val="es-MX" w:eastAsia="en-US"/>
        </w:rPr>
        <w:t xml:space="preserve">a </w:t>
      </w:r>
      <w:r>
        <w:rPr>
          <w:noProof/>
          <w:lang w:val="es-MX" w:eastAsia="en-US"/>
        </w:rPr>
        <w:t xml:space="preserve">introducción </w:t>
      </w:r>
      <w:r w:rsidR="00E84434">
        <w:rPr>
          <w:noProof/>
          <w:lang w:val="es-MX" w:eastAsia="en-US"/>
        </w:rPr>
        <w:t>y</w:t>
      </w:r>
      <w:r w:rsidR="00EF22D4">
        <w:rPr>
          <w:noProof/>
          <w:lang w:val="es-MX" w:eastAsia="en-US"/>
        </w:rPr>
        <w:t xml:space="preserve"> los textos que van numerados con un ícono.</w:t>
      </w:r>
      <w:r w:rsidR="00456951">
        <w:rPr>
          <w:noProof/>
          <w:lang w:val="es-MX" w:eastAsia="en-US"/>
        </w:rPr>
        <w:t xml:space="preserve"> En el ítem 4 van 3 audios- revisar por favor. </w:t>
      </w:r>
      <w:bookmarkStart w:id="0" w:name="_GoBack"/>
      <w:bookmarkEnd w:id="0"/>
    </w:p>
    <w:p w14:paraId="4482CD05" w14:textId="77777777" w:rsidR="00B02B0C" w:rsidRDefault="00B02B0C" w:rsidP="00B02B0C">
      <w:pPr>
        <w:jc w:val="left"/>
        <w:rPr>
          <w:noProof/>
          <w:lang w:val="es-MX" w:eastAsia="en-US"/>
        </w:rPr>
      </w:pPr>
    </w:p>
    <w:p w14:paraId="69002370" w14:textId="77777777" w:rsidR="00E67919" w:rsidRPr="00A822F4" w:rsidRDefault="00B02B0C" w:rsidP="00B02B0C">
      <w:pPr>
        <w:spacing w:line="160" w:lineRule="atLeast"/>
        <w:outlineLvl w:val="0"/>
        <w:rPr>
          <w:rFonts w:cs="Arial"/>
          <w:b/>
          <w:szCs w:val="24"/>
        </w:rPr>
      </w:pPr>
      <w:r w:rsidRPr="00A822F4">
        <w:rPr>
          <w:b/>
          <w:noProof/>
          <w:lang w:val="es-MX" w:eastAsia="en-US"/>
        </w:rPr>
        <w:t xml:space="preserve">La etapa poscontractual </w:t>
      </w:r>
      <w:r w:rsidRPr="00A822F4">
        <w:rPr>
          <w:rFonts w:cs="Arial"/>
          <w:b/>
          <w:szCs w:val="24"/>
        </w:rPr>
        <w:t>hace referencia al número de actividades que prosiguen después de la ejecución completa y a la terminación del contrato según se haya establecido en el</w:t>
      </w:r>
      <w:r w:rsidR="00D85B81" w:rsidRPr="00A822F4">
        <w:rPr>
          <w:rFonts w:cs="Arial"/>
          <w:b/>
          <w:szCs w:val="24"/>
        </w:rPr>
        <w:t xml:space="preserve"> mismo. Durante esta etapa </w:t>
      </w:r>
      <w:r w:rsidRPr="00A822F4">
        <w:rPr>
          <w:rFonts w:cs="Arial"/>
          <w:b/>
          <w:szCs w:val="24"/>
        </w:rPr>
        <w:t>se lleva a cabo la liquidación del contrato.</w:t>
      </w:r>
      <w:r w:rsidR="00E67919" w:rsidRPr="00A822F4">
        <w:rPr>
          <w:rFonts w:cs="Arial"/>
          <w:b/>
          <w:szCs w:val="24"/>
        </w:rPr>
        <w:t xml:space="preserve"> </w:t>
      </w:r>
    </w:p>
    <w:p w14:paraId="455C6BBC" w14:textId="77777777" w:rsidR="00E67919" w:rsidRDefault="00E67919" w:rsidP="00B02B0C">
      <w:pPr>
        <w:spacing w:line="160" w:lineRule="atLeast"/>
        <w:outlineLvl w:val="0"/>
        <w:rPr>
          <w:rFonts w:cs="Arial"/>
          <w:szCs w:val="24"/>
        </w:rPr>
      </w:pPr>
    </w:p>
    <w:p w14:paraId="059DE24B" w14:textId="65C33853" w:rsidR="00B02B0C" w:rsidRDefault="00E67919" w:rsidP="00E67919">
      <w:pPr>
        <w:spacing w:line="160" w:lineRule="atLeast"/>
        <w:jc w:val="center"/>
        <w:outlineLvl w:val="0"/>
        <w:rPr>
          <w:rFonts w:cs="Arial"/>
          <w:szCs w:val="24"/>
        </w:rPr>
      </w:pPr>
      <w:r w:rsidRPr="00E67919">
        <w:rPr>
          <w:rFonts w:cs="Arial"/>
          <w:b/>
          <w:i/>
          <w:color w:val="4472C4" w:themeColor="accent5"/>
          <w:szCs w:val="24"/>
        </w:rPr>
        <w:t xml:space="preserve">Haga clic </w:t>
      </w:r>
      <w:r w:rsidR="004A0BE0">
        <w:rPr>
          <w:rFonts w:cs="Arial"/>
          <w:b/>
          <w:i/>
          <w:color w:val="4472C4" w:themeColor="accent5"/>
          <w:szCs w:val="24"/>
        </w:rPr>
        <w:t>en cada número</w:t>
      </w:r>
      <w:r w:rsidR="00E84434">
        <w:rPr>
          <w:rFonts w:cs="Arial"/>
          <w:b/>
          <w:i/>
          <w:color w:val="4472C4" w:themeColor="accent5"/>
          <w:szCs w:val="24"/>
        </w:rPr>
        <w:t xml:space="preserve"> </w:t>
      </w:r>
      <w:r w:rsidRPr="00E67919">
        <w:rPr>
          <w:rFonts w:cs="Arial"/>
          <w:b/>
          <w:i/>
          <w:color w:val="4472C4" w:themeColor="accent5"/>
          <w:szCs w:val="24"/>
        </w:rPr>
        <w:t>para ampliar la información:</w:t>
      </w:r>
    </w:p>
    <w:p w14:paraId="14FF064E" w14:textId="77777777" w:rsidR="00B02B0C" w:rsidRPr="00B02B0C" w:rsidRDefault="00B02B0C" w:rsidP="00B02B0C">
      <w:pPr>
        <w:jc w:val="left"/>
        <w:rPr>
          <w:rFonts w:cs="Arial"/>
          <w:b/>
          <w:color w:val="000000"/>
          <w:shd w:val="clear" w:color="auto" w:fill="FFFFFF"/>
        </w:rPr>
      </w:pPr>
    </w:p>
    <w:p w14:paraId="16A19483" w14:textId="77777777" w:rsidR="009555D0" w:rsidRDefault="009555D0" w:rsidP="009555D0">
      <w:pPr>
        <w:rPr>
          <w:rFonts w:cs="Arial"/>
          <w:color w:val="000000"/>
          <w:shd w:val="clear" w:color="auto" w:fill="FFFFFF"/>
        </w:rPr>
      </w:pPr>
    </w:p>
    <w:p w14:paraId="4FCB2594" w14:textId="77777777" w:rsidR="00B02B0C" w:rsidRDefault="00B02B0C" w:rsidP="009555D0">
      <w:pPr>
        <w:spacing w:line="160" w:lineRule="atLeast"/>
        <w:outlineLvl w:val="0"/>
        <w:rPr>
          <w:rFonts w:cs="Arial"/>
          <w:szCs w:val="24"/>
        </w:rPr>
      </w:pPr>
    </w:p>
    <w:p w14:paraId="2C8552CC" w14:textId="77777777" w:rsidR="00B02B0C" w:rsidRDefault="00B02B0C" w:rsidP="009555D0">
      <w:pPr>
        <w:spacing w:line="160" w:lineRule="atLeast"/>
        <w:outlineLvl w:val="0"/>
        <w:rPr>
          <w:rFonts w:cs="Arial"/>
          <w:szCs w:val="24"/>
        </w:rPr>
      </w:pPr>
    </w:p>
    <w:p w14:paraId="11C61B34" w14:textId="77777777" w:rsidR="009555D0" w:rsidRPr="007C7785" w:rsidRDefault="00A822F4" w:rsidP="009555D0">
      <w:pPr>
        <w:spacing w:line="160" w:lineRule="atLeast"/>
        <w:outlineLvl w:val="0"/>
        <w:rPr>
          <w:rFonts w:cs="Arial"/>
          <w:szCs w:val="24"/>
        </w:rPr>
      </w:pPr>
      <w:r>
        <w:rPr>
          <w:rFonts w:cs="Arial"/>
          <w:szCs w:val="24"/>
        </w:rPr>
        <w:t>1</w:t>
      </w:r>
      <w:r w:rsidRPr="00CF17FE">
        <w:rPr>
          <w:rFonts w:cs="Arial"/>
          <w:szCs w:val="24"/>
          <w:highlight w:val="yellow"/>
        </w:rPr>
        <w:t xml:space="preserve">. </w:t>
      </w:r>
      <w:r w:rsidR="00CF17FE" w:rsidRPr="00CF17FE">
        <w:rPr>
          <w:rFonts w:cs="Arial"/>
          <w:szCs w:val="24"/>
          <w:highlight w:val="yellow"/>
        </w:rPr>
        <w:t>(</w:t>
      </w:r>
      <w:r w:rsidR="00CF17FE" w:rsidRPr="00CF17FE">
        <w:rPr>
          <w:rFonts w:ascii="Trebuchet MS" w:hAnsi="Trebuchet MS"/>
          <w:b/>
          <w:bCs/>
          <w:color w:val="595959"/>
          <w:sz w:val="20"/>
          <w:highlight w:val="yellow"/>
          <w:shd w:val="clear" w:color="auto" w:fill="ECECEC"/>
        </w:rPr>
        <w:t>ISS_5096_05200)</w:t>
      </w:r>
      <w:r w:rsidR="00CF17FE">
        <w:rPr>
          <w:rFonts w:ascii="Trebuchet MS" w:hAnsi="Trebuchet MS"/>
          <w:b/>
          <w:bCs/>
          <w:color w:val="595959"/>
          <w:sz w:val="20"/>
          <w:shd w:val="clear" w:color="auto" w:fill="ECECEC"/>
        </w:rPr>
        <w:t xml:space="preserve"> </w:t>
      </w:r>
      <w:r w:rsidR="009555D0">
        <w:rPr>
          <w:rFonts w:cs="Arial"/>
          <w:szCs w:val="24"/>
        </w:rPr>
        <w:t>Una vez ejecutado y concluido el contrato, las partes comprueban  en qué medida y de qué forma se cumplieron los compromisos y obligaciones mutuas que emanaron del contrato, esto con el fin de determinar si están o no a paz y salvo por todo concepto en relación con su ejecución: se</w:t>
      </w:r>
      <w:r w:rsidR="009555D0" w:rsidRPr="00F36D76">
        <w:rPr>
          <w:szCs w:val="24"/>
          <w:lang w:val="es-ES_tradnl"/>
        </w:rPr>
        <w:t xml:space="preserve"> revisarán las cuentas, acordarán los ajustes, se establecerá si se debe hacer el reconocimiento de saldos a favor de alguna de las partes y se dejarán por escrito los acuerdos y conciliaciones a que llegaren l</w:t>
      </w:r>
      <w:r w:rsidR="009555D0">
        <w:rPr>
          <w:szCs w:val="24"/>
          <w:lang w:val="es-ES_tradnl"/>
        </w:rPr>
        <w:t>os contratistas</w:t>
      </w:r>
      <w:r w:rsidR="009555D0" w:rsidRPr="00F36D76">
        <w:rPr>
          <w:szCs w:val="24"/>
          <w:lang w:val="es-ES_tradnl"/>
        </w:rPr>
        <w:t>.</w:t>
      </w:r>
      <w:r w:rsidR="009555D0">
        <w:rPr>
          <w:szCs w:val="24"/>
          <w:lang w:val="es-ES_tradnl"/>
        </w:rPr>
        <w:t xml:space="preserve"> Es importante señalar que cuando no se da el mutuo acuerdo, liquidación bilateral, procede la liquidación unilateral o la liquidación judicial según sea el caso.   </w:t>
      </w:r>
    </w:p>
    <w:p w14:paraId="780E4B1E" w14:textId="77777777" w:rsidR="009555D0" w:rsidRPr="00F36D76" w:rsidRDefault="009555D0" w:rsidP="009555D0">
      <w:pPr>
        <w:spacing w:line="160" w:lineRule="atLeast"/>
        <w:outlineLvl w:val="0"/>
        <w:rPr>
          <w:rFonts w:cs="Arial"/>
          <w:szCs w:val="24"/>
          <w:lang w:val="es-ES_tradnl"/>
        </w:rPr>
      </w:pPr>
    </w:p>
    <w:p w14:paraId="5764A4B3" w14:textId="77777777" w:rsidR="009555D0" w:rsidRPr="008A386D" w:rsidRDefault="00A822F4" w:rsidP="009555D0">
      <w:pPr>
        <w:spacing w:line="160" w:lineRule="atLeast"/>
        <w:outlineLvl w:val="0"/>
        <w:rPr>
          <w:rFonts w:cs="Arial"/>
          <w:szCs w:val="24"/>
          <w:lang w:val="es-ES_tradnl"/>
        </w:rPr>
      </w:pPr>
      <w:r>
        <w:rPr>
          <w:rFonts w:cs="Arial"/>
          <w:szCs w:val="24"/>
          <w:lang w:val="es-ES_tradnl"/>
        </w:rPr>
        <w:t xml:space="preserve">2. </w:t>
      </w:r>
      <w:r w:rsidR="007627AF" w:rsidRPr="007627AF">
        <w:rPr>
          <w:rFonts w:cs="Arial"/>
          <w:szCs w:val="24"/>
          <w:highlight w:val="yellow"/>
          <w:lang w:val="es-ES_tradnl"/>
        </w:rPr>
        <w:t>(</w:t>
      </w:r>
      <w:r w:rsidR="007627AF" w:rsidRPr="007627AF">
        <w:rPr>
          <w:rFonts w:ascii="Trebuchet MS" w:hAnsi="Trebuchet MS"/>
          <w:b/>
          <w:bCs/>
          <w:color w:val="595959"/>
          <w:sz w:val="20"/>
          <w:highlight w:val="yellow"/>
          <w:shd w:val="clear" w:color="auto" w:fill="ECECEC"/>
        </w:rPr>
        <w:t>IST_21210_05747</w:t>
      </w:r>
      <w:r w:rsidR="007627AF">
        <w:rPr>
          <w:rFonts w:ascii="Trebuchet MS" w:hAnsi="Trebuchet MS"/>
          <w:b/>
          <w:bCs/>
          <w:color w:val="595959"/>
          <w:sz w:val="20"/>
          <w:shd w:val="clear" w:color="auto" w:fill="ECECEC"/>
        </w:rPr>
        <w:t xml:space="preserve">) </w:t>
      </w:r>
      <w:r>
        <w:rPr>
          <w:rFonts w:cs="Arial"/>
          <w:szCs w:val="24"/>
          <w:lang w:val="es-ES_tradnl"/>
        </w:rPr>
        <w:t>Aq</w:t>
      </w:r>
      <w:r w:rsidR="009555D0">
        <w:rPr>
          <w:rFonts w:cs="Arial"/>
          <w:szCs w:val="24"/>
          <w:lang w:val="es-ES_tradnl"/>
        </w:rPr>
        <w:t xml:space="preserve">uí se </w:t>
      </w:r>
      <w:r w:rsidR="009555D0" w:rsidRPr="00F36D76">
        <w:rPr>
          <w:rFonts w:cs="Arial"/>
          <w:szCs w:val="24"/>
          <w:lang w:val="es-ES_tradnl"/>
        </w:rPr>
        <w:t>determina de manera clara quién le debe a quién, qué o cuánto le debe y por qué se l</w:t>
      </w:r>
      <w:r w:rsidR="009555D0">
        <w:rPr>
          <w:rFonts w:cs="Arial"/>
          <w:szCs w:val="24"/>
          <w:lang w:val="es-ES_tradnl"/>
        </w:rPr>
        <w:t xml:space="preserve">e debe; este </w:t>
      </w:r>
      <w:r w:rsidR="009555D0" w:rsidRPr="00F36D76">
        <w:rPr>
          <w:rFonts w:cs="Arial"/>
          <w:szCs w:val="24"/>
          <w:lang w:val="es-ES_tradnl"/>
        </w:rPr>
        <w:t xml:space="preserve">proceso, denominado liquidación del contrato, se </w:t>
      </w:r>
      <w:r w:rsidR="009555D0">
        <w:rPr>
          <w:rFonts w:cs="Arial"/>
          <w:szCs w:val="24"/>
          <w:lang w:val="es-ES_tradnl"/>
        </w:rPr>
        <w:t xml:space="preserve">desarrolla </w:t>
      </w:r>
      <w:r w:rsidR="009555D0" w:rsidRPr="00F36D76">
        <w:rPr>
          <w:rFonts w:cs="Arial"/>
          <w:szCs w:val="24"/>
          <w:lang w:val="es-ES_tradnl"/>
        </w:rPr>
        <w:t xml:space="preserve">en el tiempo </w:t>
      </w:r>
      <w:r w:rsidR="009555D0">
        <w:rPr>
          <w:rFonts w:cs="Arial"/>
          <w:szCs w:val="24"/>
          <w:lang w:val="es-ES_tradnl"/>
        </w:rPr>
        <w:t>señalado</w:t>
      </w:r>
      <w:r w:rsidR="009555D0" w:rsidRPr="00F36D76">
        <w:rPr>
          <w:rFonts w:cs="Arial"/>
          <w:szCs w:val="24"/>
          <w:lang w:val="es-ES_tradnl"/>
        </w:rPr>
        <w:t xml:space="preserve"> en el pliego de condiciones o, en</w:t>
      </w:r>
      <w:r w:rsidR="009555D0">
        <w:rPr>
          <w:rFonts w:cs="Arial"/>
          <w:szCs w:val="24"/>
          <w:lang w:val="es-ES_tradnl"/>
        </w:rPr>
        <w:t xml:space="preserve"> el contrato o en el término establecido en el art. 11 de la Ley 1150 de 2007: </w:t>
      </w:r>
      <w:r w:rsidR="009555D0" w:rsidRPr="007C7785">
        <w:rPr>
          <w:rFonts w:cs="Arial"/>
          <w:color w:val="000000" w:themeColor="text1"/>
          <w:szCs w:val="24"/>
          <w:lang w:val="es-ES_tradnl"/>
        </w:rPr>
        <w:t>“</w:t>
      </w:r>
      <w:r w:rsidR="009555D0" w:rsidRPr="007C7785">
        <w:rPr>
          <w:rFonts w:cs="Arial"/>
          <w:color w:val="000000" w:themeColor="text1"/>
          <w:szCs w:val="24"/>
          <w:shd w:val="clear" w:color="auto" w:fill="FFFFFF"/>
        </w:rPr>
        <w:t>De no existir tal término, la liquidación se</w:t>
      </w:r>
      <w:r w:rsidR="009555D0">
        <w:rPr>
          <w:rFonts w:cs="Arial"/>
          <w:color w:val="000000" w:themeColor="text1"/>
          <w:szCs w:val="24"/>
          <w:shd w:val="clear" w:color="auto" w:fill="FFFFFF"/>
        </w:rPr>
        <w:t xml:space="preserve"> realizará dentro de los cuatro </w:t>
      </w:r>
      <w:r w:rsidR="009555D0" w:rsidRPr="007C7785">
        <w:rPr>
          <w:rFonts w:cs="Arial"/>
          <w:color w:val="000000" w:themeColor="text1"/>
          <w:szCs w:val="24"/>
          <w:shd w:val="clear" w:color="auto" w:fill="FFFFFF"/>
        </w:rPr>
        <w:t>meses siguientes a la expiración del término previsto para la ejecución del contrato o a la expedición del acto administrativo que ordene la terminación o</w:t>
      </w:r>
      <w:r w:rsidR="009555D0">
        <w:rPr>
          <w:rFonts w:cs="Arial"/>
          <w:color w:val="000000" w:themeColor="text1"/>
          <w:szCs w:val="24"/>
          <w:shd w:val="clear" w:color="auto" w:fill="FFFFFF"/>
        </w:rPr>
        <w:t xml:space="preserve"> </w:t>
      </w:r>
      <w:r w:rsidR="009555D0" w:rsidRPr="007C7785">
        <w:rPr>
          <w:rFonts w:cs="Arial"/>
          <w:color w:val="000000" w:themeColor="text1"/>
          <w:szCs w:val="24"/>
          <w:shd w:val="clear" w:color="auto" w:fill="FFFFFF"/>
        </w:rPr>
        <w:t>a la fecha del acuerdo que la disponga.”</w:t>
      </w:r>
    </w:p>
    <w:p w14:paraId="4B0F48F5" w14:textId="77777777" w:rsidR="009555D0" w:rsidRPr="007C7785" w:rsidRDefault="009555D0" w:rsidP="009555D0">
      <w:pPr>
        <w:spacing w:line="160" w:lineRule="atLeast"/>
        <w:outlineLvl w:val="0"/>
        <w:rPr>
          <w:rFonts w:cs="Arial"/>
          <w:color w:val="000000" w:themeColor="text1"/>
          <w:szCs w:val="24"/>
          <w:lang w:val="es-ES_tradnl"/>
        </w:rPr>
      </w:pPr>
    </w:p>
    <w:p w14:paraId="246EC85B" w14:textId="77777777" w:rsidR="009555D0" w:rsidRDefault="009555D0" w:rsidP="009555D0">
      <w:r>
        <w:rPr>
          <w:noProof/>
          <w:lang w:val="en-US" w:eastAsia="en-US"/>
        </w:rPr>
        <mc:AlternateContent>
          <mc:Choice Requires="wps">
            <w:drawing>
              <wp:anchor distT="0" distB="0" distL="114300" distR="114300" simplePos="0" relativeHeight="251659264" behindDoc="0" locked="0" layoutInCell="1" allowOverlap="1" wp14:anchorId="6383079C" wp14:editId="34C7C690">
                <wp:simplePos x="0" y="0"/>
                <wp:positionH relativeFrom="margin">
                  <wp:align>center</wp:align>
                </wp:positionH>
                <wp:positionV relativeFrom="paragraph">
                  <wp:posOffset>1014730</wp:posOffset>
                </wp:positionV>
                <wp:extent cx="5086350" cy="1000125"/>
                <wp:effectExtent l="0" t="209550" r="19050" b="28575"/>
                <wp:wrapThrough wrapText="bothSides">
                  <wp:wrapPolygon edited="0">
                    <wp:start x="6391" y="-4526"/>
                    <wp:lineTo x="0" y="-4526"/>
                    <wp:lineTo x="0" y="15634"/>
                    <wp:lineTo x="243" y="21806"/>
                    <wp:lineTo x="243" y="21806"/>
                    <wp:lineTo x="21357" y="21806"/>
                    <wp:lineTo x="21357" y="21806"/>
                    <wp:lineTo x="21600" y="15634"/>
                    <wp:lineTo x="21600" y="-4526"/>
                    <wp:lineTo x="6715" y="-4526"/>
                    <wp:lineTo x="6391" y="-4526"/>
                  </wp:wrapPolygon>
                </wp:wrapThrough>
                <wp:docPr id="22" name="Llamada rectangular redondeada 11"/>
                <wp:cNvGraphicFramePr/>
                <a:graphic xmlns:a="http://schemas.openxmlformats.org/drawingml/2006/main">
                  <a:graphicData uri="http://schemas.microsoft.com/office/word/2010/wordprocessingShape">
                    <wps:wsp>
                      <wps:cNvSpPr/>
                      <wps:spPr>
                        <a:xfrm>
                          <a:off x="0" y="0"/>
                          <a:ext cx="5086350" cy="1000125"/>
                        </a:xfrm>
                        <a:prstGeom prst="wedgeRoundRectCallout">
                          <a:avLst>
                            <a:gd name="adj1" fmla="val -19713"/>
                            <a:gd name="adj2" fmla="val -69643"/>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8B5EEBF" w14:textId="77777777" w:rsidR="009555D0" w:rsidRDefault="009555D0" w:rsidP="009555D0">
                            <w:pPr>
                              <w:autoSpaceDE w:val="0"/>
                              <w:autoSpaceDN w:val="0"/>
                              <w:adjustRightInd w:val="0"/>
                              <w:jc w:val="center"/>
                              <w:rPr>
                                <w:rFonts w:eastAsiaTheme="minorHAnsi" w:cs="Arial"/>
                                <w:sz w:val="20"/>
                                <w:lang w:eastAsia="en-US"/>
                              </w:rPr>
                            </w:pPr>
                            <w:r w:rsidRPr="00321B8C">
                              <w:rPr>
                                <w:rFonts w:eastAsiaTheme="minorHAnsi" w:cs="Arial"/>
                                <w:sz w:val="20"/>
                                <w:lang w:eastAsia="en-US"/>
                              </w:rPr>
                              <w:t>“</w:t>
                            </w:r>
                            <w:r w:rsidRPr="00321B8C">
                              <w:rPr>
                                <w:rFonts w:ascii="HelveticaNeue-Light" w:eastAsiaTheme="minorHAnsi" w:hAnsi="HelveticaNeue-Light" w:cs="HelveticaNeue-Light"/>
                                <w:sz w:val="20"/>
                                <w:lang w:eastAsia="en-US"/>
                              </w:rPr>
                              <w:t>El objetivo de la liquidación es determinar si las partes pueden declararse a paz y salvo mutuo o si existen obligaciones por cumplir y la forma en que deben ser cumplidas. Por esta razón, la liquidación s</w:t>
                            </w:r>
                            <w:r>
                              <w:rPr>
                                <w:rFonts w:ascii="HelveticaNeue-Light" w:eastAsiaTheme="minorHAnsi" w:hAnsi="HelveticaNeue-Light" w:cs="HelveticaNeue-Light"/>
                                <w:sz w:val="20"/>
                                <w:lang w:eastAsia="en-US"/>
                              </w:rPr>
                              <w:t>o</w:t>
                            </w:r>
                            <w:r w:rsidRPr="00321B8C">
                              <w:rPr>
                                <w:rFonts w:ascii="HelveticaNeue-Light" w:eastAsiaTheme="minorHAnsi" w:hAnsi="HelveticaNeue-Light" w:cs="HelveticaNeue-Light"/>
                                <w:sz w:val="20"/>
                                <w:lang w:eastAsia="en-US"/>
                              </w:rPr>
                              <w:t>lo procede con posterioridad a la terminación de la ejecución del contrato.</w:t>
                            </w:r>
                          </w:p>
                          <w:p w14:paraId="6694EE2D" w14:textId="77777777" w:rsidR="009555D0" w:rsidRPr="00321B8C" w:rsidRDefault="009555D0" w:rsidP="009555D0">
                            <w:pPr>
                              <w:jc w:val="center"/>
                              <w:rPr>
                                <w:sz w:val="20"/>
                              </w:rPr>
                            </w:pPr>
                            <w:r w:rsidRPr="00405632">
                              <w:rPr>
                                <w:sz w:val="20"/>
                              </w:rPr>
                              <w:t>(Colombia Compra Eficiente, 2016)</w:t>
                            </w:r>
                            <w:r>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307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1" o:spid="_x0000_s1026" type="#_x0000_t62" style="position:absolute;left:0;text-align:left;margin-left:0;margin-top:79.9pt;width:400.5pt;height:7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" adj="6542,-4243" fillcolor="#91bce3 [2164]" strokecolor="#5b9bd5 [3204]" strokeweight=".5pt">
                <v:fill color2="#7aaddd [2612]" rotate="t" colors="0 #b1cbe9;.5 #a3c1e5;1 #92b9e4" focus="100%" type="gradient">
                  <o:fill v:ext="view" type="gradientUnscaled"/>
                </v:fill>
                <v:textbox>
                  <w:txbxContent>
                    <w:p w14:paraId="28B5EEBF" w14:textId="77777777" w:rsidR="009555D0" w:rsidRDefault="009555D0" w:rsidP="009555D0">
                      <w:pPr>
                        <w:autoSpaceDE w:val="0"/>
                        <w:autoSpaceDN w:val="0"/>
                        <w:adjustRightInd w:val="0"/>
                        <w:jc w:val="center"/>
                        <w:rPr>
                          <w:rFonts w:eastAsiaTheme="minorHAnsi" w:cs="Arial"/>
                          <w:sz w:val="20"/>
                          <w:lang w:eastAsia="en-US"/>
                        </w:rPr>
                      </w:pPr>
                      <w:r w:rsidRPr="00321B8C">
                        <w:rPr>
                          <w:rFonts w:eastAsiaTheme="minorHAnsi" w:cs="Arial"/>
                          <w:sz w:val="20"/>
                          <w:lang w:eastAsia="en-US"/>
                        </w:rPr>
                        <w:t>“</w:t>
                      </w:r>
                      <w:r w:rsidRPr="00321B8C">
                        <w:rPr>
                          <w:rFonts w:ascii="HelveticaNeue-Light" w:eastAsiaTheme="minorHAnsi" w:hAnsi="HelveticaNeue-Light" w:cs="HelveticaNeue-Light"/>
                          <w:sz w:val="20"/>
                          <w:lang w:eastAsia="en-US"/>
                        </w:rPr>
                        <w:t>El objetivo de la liquidación es determinar si las partes pueden declararse a paz y salvo mutuo o si existen obligaciones por cumplir y la forma en que deben ser cumplidas. Por esta razón, la liquidación s</w:t>
                      </w:r>
                      <w:r>
                        <w:rPr>
                          <w:rFonts w:ascii="HelveticaNeue-Light" w:eastAsiaTheme="minorHAnsi" w:hAnsi="HelveticaNeue-Light" w:cs="HelveticaNeue-Light"/>
                          <w:sz w:val="20"/>
                          <w:lang w:eastAsia="en-US"/>
                        </w:rPr>
                        <w:t>o</w:t>
                      </w:r>
                      <w:r w:rsidRPr="00321B8C">
                        <w:rPr>
                          <w:rFonts w:ascii="HelveticaNeue-Light" w:eastAsiaTheme="minorHAnsi" w:hAnsi="HelveticaNeue-Light" w:cs="HelveticaNeue-Light"/>
                          <w:sz w:val="20"/>
                          <w:lang w:eastAsia="en-US"/>
                        </w:rPr>
                        <w:t>lo procede con posterioridad a la terminación de la ejecución del contrato.</w:t>
                      </w:r>
                    </w:p>
                    <w:p w14:paraId="6694EE2D" w14:textId="77777777" w:rsidR="009555D0" w:rsidRPr="00321B8C" w:rsidRDefault="009555D0" w:rsidP="009555D0">
                      <w:pPr>
                        <w:jc w:val="center"/>
                        <w:rPr>
                          <w:sz w:val="20"/>
                        </w:rPr>
                      </w:pPr>
                      <w:r w:rsidRPr="00405632">
                        <w:rPr>
                          <w:sz w:val="20"/>
                        </w:rPr>
                        <w:t>(Colombia Compra Eficiente, 2016)</w:t>
                      </w:r>
                      <w:r>
                        <w:rPr>
                          <w:sz w:val="20"/>
                        </w:rPr>
                        <w:t>.</w:t>
                      </w:r>
                    </w:p>
                  </w:txbxContent>
                </v:textbox>
                <w10:wrap type="through" anchorx="margin"/>
              </v:shape>
            </w:pict>
          </mc:Fallback>
        </mc:AlternateContent>
      </w:r>
      <w:r w:rsidR="006F511F">
        <w:rPr>
          <w:szCs w:val="24"/>
          <w:lang w:val="es-ES_tradnl"/>
        </w:rPr>
        <w:t xml:space="preserve">3. </w:t>
      </w:r>
      <w:r w:rsidR="00A20F70">
        <w:rPr>
          <w:szCs w:val="24"/>
          <w:lang w:val="es-ES_tradnl"/>
        </w:rPr>
        <w:t>(</w:t>
      </w:r>
      <w:r w:rsidR="00A20F70" w:rsidRPr="00A20F70">
        <w:rPr>
          <w:rFonts w:ascii="Trebuchet MS" w:hAnsi="Trebuchet MS"/>
          <w:b/>
          <w:bCs/>
          <w:color w:val="595959"/>
          <w:sz w:val="20"/>
          <w:highlight w:val="yellow"/>
          <w:shd w:val="clear" w:color="auto" w:fill="ECECEC"/>
        </w:rPr>
        <w:t>ING_47129_01688)</w:t>
      </w:r>
      <w:r w:rsidR="00A20F70">
        <w:rPr>
          <w:rFonts w:ascii="Trebuchet MS" w:hAnsi="Trebuchet MS"/>
          <w:b/>
          <w:bCs/>
          <w:color w:val="595959"/>
          <w:sz w:val="20"/>
          <w:shd w:val="clear" w:color="auto" w:fill="ECECEC"/>
        </w:rPr>
        <w:t xml:space="preserve"> </w:t>
      </w:r>
      <w:r w:rsidRPr="00F36D76">
        <w:rPr>
          <w:szCs w:val="24"/>
          <w:lang w:val="es-ES_tradnl"/>
        </w:rPr>
        <w:t xml:space="preserve">En este período, referido a la liquidación del contrato, es </w:t>
      </w:r>
      <w:r>
        <w:rPr>
          <w:szCs w:val="24"/>
          <w:lang w:val="es-ES_tradnl"/>
        </w:rPr>
        <w:t xml:space="preserve">primordial </w:t>
      </w:r>
      <w:r w:rsidRPr="00F36D76">
        <w:rPr>
          <w:szCs w:val="24"/>
          <w:lang w:val="es-ES_tradnl"/>
        </w:rPr>
        <w:t xml:space="preserve">la actuación del supervisor o interventor del contrato, quién </w:t>
      </w:r>
      <w:r>
        <w:rPr>
          <w:szCs w:val="24"/>
          <w:lang w:val="es-ES_tradnl"/>
        </w:rPr>
        <w:t xml:space="preserve">obra </w:t>
      </w:r>
      <w:r w:rsidRPr="00F36D76">
        <w:rPr>
          <w:szCs w:val="24"/>
          <w:lang w:val="es-ES_tradnl"/>
        </w:rPr>
        <w:t>en representación de la entidad efectua</w:t>
      </w:r>
      <w:r>
        <w:rPr>
          <w:szCs w:val="24"/>
          <w:lang w:val="es-ES_tradnl"/>
        </w:rPr>
        <w:t>ndo,</w:t>
      </w:r>
      <w:r w:rsidRPr="00F36D76">
        <w:rPr>
          <w:szCs w:val="24"/>
          <w:lang w:val="es-ES_tradnl"/>
        </w:rPr>
        <w:t xml:space="preserve"> junto con el contratista, la revisión y análisis sobre el cumplimiento de las obligaciones pactadas.</w:t>
      </w:r>
    </w:p>
    <w:p w14:paraId="49090D5F" w14:textId="77777777" w:rsidR="00D8388C" w:rsidRDefault="00D8388C" w:rsidP="009555D0">
      <w:pPr>
        <w:autoSpaceDE w:val="0"/>
        <w:autoSpaceDN w:val="0"/>
        <w:adjustRightInd w:val="0"/>
        <w:rPr>
          <w:rFonts w:eastAsiaTheme="minorHAnsi" w:cs="Arial"/>
          <w:szCs w:val="24"/>
          <w:lang w:eastAsia="en-US"/>
        </w:rPr>
      </w:pPr>
    </w:p>
    <w:p w14:paraId="1EEF683C" w14:textId="75F226E2" w:rsidR="00911FFB" w:rsidRDefault="006F511F" w:rsidP="009555D0">
      <w:pPr>
        <w:autoSpaceDE w:val="0"/>
        <w:autoSpaceDN w:val="0"/>
        <w:adjustRightInd w:val="0"/>
        <w:rPr>
          <w:rFonts w:eastAsiaTheme="minorHAnsi" w:cs="Arial"/>
          <w:szCs w:val="24"/>
          <w:lang w:eastAsia="en-US"/>
        </w:rPr>
      </w:pPr>
      <w:r>
        <w:rPr>
          <w:rFonts w:eastAsiaTheme="minorHAnsi" w:cs="Arial"/>
          <w:szCs w:val="24"/>
          <w:lang w:eastAsia="en-US"/>
        </w:rPr>
        <w:t xml:space="preserve">4. </w:t>
      </w:r>
      <w:r w:rsidR="00E26E8C" w:rsidRPr="00B668E3">
        <w:rPr>
          <w:rFonts w:eastAsiaTheme="minorHAnsi" w:cs="Arial"/>
          <w:szCs w:val="24"/>
          <w:highlight w:val="yellow"/>
          <w:lang w:eastAsia="en-US"/>
        </w:rPr>
        <w:t>(Aquí</w:t>
      </w:r>
      <w:r w:rsidR="001814A6" w:rsidRPr="00B668E3">
        <w:rPr>
          <w:rFonts w:eastAsiaTheme="minorHAnsi" w:cs="Arial"/>
          <w:szCs w:val="24"/>
          <w:highlight w:val="yellow"/>
          <w:lang w:eastAsia="en-US"/>
        </w:rPr>
        <w:t xml:space="preserve"> va</w:t>
      </w:r>
      <w:r w:rsidR="00DE146A">
        <w:rPr>
          <w:rFonts w:eastAsiaTheme="minorHAnsi" w:cs="Arial"/>
          <w:szCs w:val="24"/>
          <w:highlight w:val="yellow"/>
          <w:lang w:eastAsia="en-US"/>
        </w:rPr>
        <w:t xml:space="preserve"> introducción en texto + 3</w:t>
      </w:r>
      <w:r w:rsidR="00CF54AA">
        <w:rPr>
          <w:rFonts w:eastAsiaTheme="minorHAnsi" w:cs="Arial"/>
          <w:szCs w:val="24"/>
          <w:highlight w:val="yellow"/>
          <w:lang w:eastAsia="en-US"/>
        </w:rPr>
        <w:t xml:space="preserve"> audios</w:t>
      </w:r>
      <w:r w:rsidR="001814A6" w:rsidRPr="00B668E3">
        <w:rPr>
          <w:rFonts w:eastAsiaTheme="minorHAnsi" w:cs="Arial"/>
          <w:szCs w:val="24"/>
          <w:highlight w:val="yellow"/>
          <w:lang w:eastAsia="en-US"/>
        </w:rPr>
        <w:t>)</w:t>
      </w:r>
    </w:p>
    <w:p w14:paraId="4E102C4E" w14:textId="77777777" w:rsidR="00911FFB" w:rsidRDefault="00911FFB" w:rsidP="009555D0">
      <w:pPr>
        <w:autoSpaceDE w:val="0"/>
        <w:autoSpaceDN w:val="0"/>
        <w:adjustRightInd w:val="0"/>
        <w:rPr>
          <w:rFonts w:eastAsiaTheme="minorHAnsi" w:cs="Arial"/>
          <w:szCs w:val="24"/>
          <w:lang w:eastAsia="en-US"/>
        </w:rPr>
      </w:pPr>
    </w:p>
    <w:p w14:paraId="5161E86E" w14:textId="77777777" w:rsidR="007942F6" w:rsidRDefault="009555D0" w:rsidP="007A186E">
      <w:pPr>
        <w:autoSpaceDE w:val="0"/>
        <w:autoSpaceDN w:val="0"/>
        <w:adjustRightInd w:val="0"/>
        <w:jc w:val="center"/>
        <w:rPr>
          <w:rFonts w:eastAsiaTheme="minorHAnsi" w:cs="Arial"/>
          <w:szCs w:val="24"/>
          <w:lang w:eastAsia="en-US"/>
        </w:rPr>
      </w:pPr>
      <w:r>
        <w:rPr>
          <w:rFonts w:eastAsiaTheme="minorHAnsi" w:cs="Arial"/>
          <w:szCs w:val="24"/>
          <w:lang w:eastAsia="en-US"/>
        </w:rPr>
        <w:t xml:space="preserve">De acuerdo con el </w:t>
      </w:r>
      <w:r>
        <w:t>artículo 60 de la Ley 80 de 1993, modificado por el artículo 217 del Decreto 019 de 2012 y la Guía para la liquidación de contratos estatales, en la página web de Colombia Compra Eficiente, l</w:t>
      </w:r>
      <w:r>
        <w:rPr>
          <w:rFonts w:eastAsiaTheme="minorHAnsi" w:cs="Arial"/>
          <w:szCs w:val="24"/>
          <w:lang w:eastAsia="en-US"/>
        </w:rPr>
        <w:t xml:space="preserve">a </w:t>
      </w:r>
      <w:r w:rsidRPr="00321B8C">
        <w:rPr>
          <w:rFonts w:eastAsiaTheme="minorHAnsi" w:cs="Arial"/>
          <w:szCs w:val="24"/>
          <w:lang w:eastAsia="en-US"/>
        </w:rPr>
        <w:t xml:space="preserve">liquidación de los contratos puede llevarse a cabo de tres maneras: </w:t>
      </w:r>
      <w:r>
        <w:rPr>
          <w:rFonts w:eastAsiaTheme="minorHAnsi" w:cs="Arial"/>
          <w:szCs w:val="24"/>
          <w:lang w:eastAsia="en-US"/>
        </w:rPr>
        <w:t>b</w:t>
      </w:r>
      <w:r w:rsidRPr="00321B8C">
        <w:rPr>
          <w:rFonts w:eastAsiaTheme="minorHAnsi" w:cs="Arial"/>
          <w:szCs w:val="24"/>
          <w:lang w:eastAsia="en-US"/>
        </w:rPr>
        <w:t>ilateral</w:t>
      </w:r>
      <w:r>
        <w:rPr>
          <w:rFonts w:eastAsiaTheme="minorHAnsi" w:cs="Arial"/>
          <w:szCs w:val="24"/>
          <w:lang w:eastAsia="en-US"/>
        </w:rPr>
        <w:t xml:space="preserve"> o de mutuo acuerdo; u</w:t>
      </w:r>
      <w:r w:rsidRPr="00321B8C">
        <w:rPr>
          <w:rFonts w:eastAsiaTheme="minorHAnsi" w:cs="Arial"/>
          <w:szCs w:val="24"/>
          <w:lang w:eastAsia="en-US"/>
        </w:rPr>
        <w:t>nilateral</w:t>
      </w:r>
      <w:r>
        <w:rPr>
          <w:rFonts w:eastAsiaTheme="minorHAnsi" w:cs="Arial"/>
          <w:szCs w:val="24"/>
          <w:lang w:eastAsia="en-US"/>
        </w:rPr>
        <w:t xml:space="preserve"> o j</w:t>
      </w:r>
      <w:r w:rsidRPr="00321B8C">
        <w:rPr>
          <w:rFonts w:eastAsiaTheme="minorHAnsi" w:cs="Arial"/>
          <w:szCs w:val="24"/>
          <w:lang w:eastAsia="en-US"/>
        </w:rPr>
        <w:t>udicial</w:t>
      </w:r>
      <w:r>
        <w:rPr>
          <w:rFonts w:eastAsiaTheme="minorHAnsi" w:cs="Arial"/>
          <w:szCs w:val="24"/>
          <w:lang w:eastAsia="en-US"/>
        </w:rPr>
        <w:t>.</w:t>
      </w:r>
      <w:r w:rsidR="007A186E">
        <w:rPr>
          <w:rFonts w:eastAsiaTheme="minorHAnsi" w:cs="Arial"/>
          <w:szCs w:val="24"/>
          <w:lang w:eastAsia="en-US"/>
        </w:rPr>
        <w:t xml:space="preserve"> </w:t>
      </w:r>
    </w:p>
    <w:p w14:paraId="17F717DC" w14:textId="77777777" w:rsidR="007942F6" w:rsidRDefault="007942F6" w:rsidP="007A186E">
      <w:pPr>
        <w:autoSpaceDE w:val="0"/>
        <w:autoSpaceDN w:val="0"/>
        <w:adjustRightInd w:val="0"/>
        <w:jc w:val="center"/>
        <w:rPr>
          <w:rFonts w:eastAsiaTheme="minorHAnsi" w:cs="Arial"/>
          <w:szCs w:val="24"/>
          <w:lang w:eastAsia="en-US"/>
        </w:rPr>
      </w:pPr>
    </w:p>
    <w:p w14:paraId="7B52C5D5" w14:textId="341EAD9C" w:rsidR="009555D0" w:rsidRDefault="007A186E" w:rsidP="007A186E">
      <w:pPr>
        <w:autoSpaceDE w:val="0"/>
        <w:autoSpaceDN w:val="0"/>
        <w:adjustRightInd w:val="0"/>
        <w:jc w:val="center"/>
        <w:rPr>
          <w:rFonts w:eastAsiaTheme="minorHAnsi" w:cs="Arial"/>
          <w:szCs w:val="24"/>
          <w:lang w:eastAsia="en-US"/>
        </w:rPr>
      </w:pPr>
      <w:r w:rsidRPr="007A186E">
        <w:rPr>
          <w:rFonts w:eastAsiaTheme="minorHAnsi" w:cs="Arial"/>
          <w:color w:val="4472C4" w:themeColor="accent5"/>
          <w:szCs w:val="24"/>
          <w:lang w:eastAsia="en-US"/>
        </w:rPr>
        <w:t>Haga clic en los botones para escuchar los diferentes tipos de liquidación:</w:t>
      </w:r>
    </w:p>
    <w:p w14:paraId="317C71CB" w14:textId="77777777" w:rsidR="009555D0" w:rsidRDefault="009555D0" w:rsidP="009555D0"/>
    <w:p w14:paraId="0E264481" w14:textId="77777777" w:rsidR="009555D0" w:rsidRDefault="009555D0" w:rsidP="009555D0"/>
    <w:p w14:paraId="6D1EAE7A" w14:textId="7D1C0F82" w:rsidR="002E212D" w:rsidRDefault="00EB25DF">
      <w:r>
        <w:rPr>
          <w:rStyle w:val="Refdecomentario"/>
        </w:rPr>
        <w:commentReference w:id="1"/>
      </w:r>
    </w:p>
    <w:sectPr w:rsidR="002E212D">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lena Salas" w:date="2020-03-26T19:07:00Z" w:initials="MS">
    <w:p w14:paraId="634D9467" w14:textId="3763E1D4" w:rsidR="00EB25DF" w:rsidRPr="000E5AE5" w:rsidRDefault="00EB25DF" w:rsidP="000E5AE5">
      <w:pPr>
        <w:pStyle w:val="Textocomentario"/>
        <w:jc w:val="center"/>
        <w:rPr>
          <w:b/>
        </w:rPr>
      </w:pPr>
      <w:r w:rsidRPr="000E5AE5">
        <w:rPr>
          <w:rStyle w:val="Refdecomentario"/>
          <w:b/>
        </w:rPr>
        <w:annotationRef/>
      </w:r>
      <w:r w:rsidRPr="000E5AE5">
        <w:rPr>
          <w:b/>
        </w:rPr>
        <w:t>T</w:t>
      </w:r>
      <w:r w:rsidR="000E5AE5" w:rsidRPr="000E5AE5">
        <w:rPr>
          <w:b/>
        </w:rPr>
        <w:t>ipos de liquidación en los contratos estatales</w:t>
      </w:r>
    </w:p>
    <w:p w14:paraId="32431A72" w14:textId="77777777" w:rsidR="00EB25DF" w:rsidRDefault="00EB25DF" w:rsidP="00EB25DF">
      <w:pPr>
        <w:pStyle w:val="Textocomentario"/>
      </w:pPr>
    </w:p>
    <w:p w14:paraId="5FB9E9FD" w14:textId="77777777" w:rsidR="006D30AC" w:rsidRDefault="006D30AC" w:rsidP="00EB25DF">
      <w:pPr>
        <w:pStyle w:val="Textocomentario"/>
        <w:rPr>
          <w:b/>
        </w:rPr>
      </w:pPr>
      <w:r>
        <w:rPr>
          <w:b/>
        </w:rPr>
        <w:t>Audio 1</w:t>
      </w:r>
    </w:p>
    <w:p w14:paraId="535A57E3" w14:textId="22277B82" w:rsidR="00E74922" w:rsidRDefault="00EB25DF" w:rsidP="00EB25DF">
      <w:pPr>
        <w:pStyle w:val="Textocomentario"/>
        <w:rPr>
          <w:b/>
        </w:rPr>
      </w:pPr>
      <w:r w:rsidRPr="007A0403">
        <w:rPr>
          <w:b/>
        </w:rPr>
        <w:t>L</w:t>
      </w:r>
      <w:r w:rsidR="007A0403" w:rsidRPr="007A0403">
        <w:rPr>
          <w:b/>
        </w:rPr>
        <w:t>iquidación de común acuerdo</w:t>
      </w:r>
    </w:p>
    <w:p w14:paraId="486382E7" w14:textId="77777777" w:rsidR="007A0403" w:rsidRPr="007A0403" w:rsidRDefault="007A0403" w:rsidP="00EB25DF">
      <w:pPr>
        <w:pStyle w:val="Textocomentario"/>
        <w:rPr>
          <w:b/>
        </w:rPr>
      </w:pPr>
    </w:p>
    <w:p w14:paraId="4BEA7C73" w14:textId="7720229B" w:rsidR="00EB25DF" w:rsidRDefault="00EB25DF" w:rsidP="00EB25DF">
      <w:pPr>
        <w:pStyle w:val="Textocomentario"/>
      </w:pPr>
      <w:r>
        <w:t>La liquidación bilateral supone un acuerdo de las voluntades entre la entidad estatal contratante y el contratista</w:t>
      </w:r>
      <w:r w:rsidR="007A0403">
        <w:t>,</w:t>
      </w:r>
      <w:r>
        <w:t xml:space="preserve"> en relación con el balance final del contrato y el acta correspondiente es un negocio jurídico, definitivo y obligatorio para las partes. Después de la revisión y análisis efectuados el interventor o supervisor del contrato proyectará el acta de liquidación, en la que constarán los acuerdos, conciliaciones y transacciones a que haya lugar para poder declararse a paz y salvo. Artículo 11 de la Ley 1150 de 2007</w:t>
      </w:r>
    </w:p>
    <w:p w14:paraId="26DC93D7" w14:textId="77777777" w:rsidR="007A0403" w:rsidRDefault="007A0403" w:rsidP="00EB25DF">
      <w:pPr>
        <w:pStyle w:val="Textocomentario"/>
      </w:pPr>
    </w:p>
    <w:p w14:paraId="3D841F3A" w14:textId="0FF26D9B" w:rsidR="006D30AC" w:rsidRDefault="006D30AC" w:rsidP="00EB25DF">
      <w:pPr>
        <w:pStyle w:val="Textocomentario"/>
        <w:rPr>
          <w:b/>
        </w:rPr>
      </w:pPr>
      <w:r>
        <w:rPr>
          <w:b/>
        </w:rPr>
        <w:t>Audio 2</w:t>
      </w:r>
    </w:p>
    <w:p w14:paraId="7F011078" w14:textId="0F4AA40C" w:rsidR="007A0403" w:rsidRPr="007A0403" w:rsidRDefault="00EB25DF" w:rsidP="00EB25DF">
      <w:pPr>
        <w:pStyle w:val="Textocomentario"/>
        <w:rPr>
          <w:b/>
        </w:rPr>
      </w:pPr>
      <w:r w:rsidRPr="007A0403">
        <w:rPr>
          <w:b/>
        </w:rPr>
        <w:t>L</w:t>
      </w:r>
      <w:r w:rsidR="007A0403" w:rsidRPr="007A0403">
        <w:rPr>
          <w:b/>
        </w:rPr>
        <w:t xml:space="preserve">iquidación unilateral </w:t>
      </w:r>
    </w:p>
    <w:p w14:paraId="7FC15DF0" w14:textId="77777777" w:rsidR="007A0403" w:rsidRDefault="007A0403" w:rsidP="00EB25DF">
      <w:pPr>
        <w:pStyle w:val="Textocomentario"/>
      </w:pPr>
    </w:p>
    <w:p w14:paraId="22146528" w14:textId="77777777" w:rsidR="00EC29C4" w:rsidRDefault="00EB25DF" w:rsidP="00EB25DF">
      <w:pPr>
        <w:pStyle w:val="Textocomentario"/>
      </w:pPr>
      <w:r>
        <w:t>El procedimiento de la liquidación unilateral es subsidiario de la l</w:t>
      </w:r>
      <w:r w:rsidR="00EC29C4">
        <w:t>iquidación bilateral e inicia:</w:t>
      </w:r>
    </w:p>
    <w:p w14:paraId="64C67F27" w14:textId="77777777" w:rsidR="00EC29C4" w:rsidRDefault="00EC29C4" w:rsidP="00EB25DF">
      <w:pPr>
        <w:pStyle w:val="Textocomentario"/>
      </w:pPr>
    </w:p>
    <w:p w14:paraId="11081DE9" w14:textId="77777777" w:rsidR="00EC29C4" w:rsidRDefault="00EC29C4" w:rsidP="00EB25DF">
      <w:pPr>
        <w:pStyle w:val="Textocomentario"/>
      </w:pPr>
      <w:r>
        <w:t>-</w:t>
      </w:r>
      <w:r w:rsidR="00EB25DF">
        <w:t xml:space="preserve"> Con el documento donde conste que no fue posible llegar a un acuerdo acerca del contenido del</w:t>
      </w:r>
      <w:r>
        <w:t xml:space="preserve"> acta de liquidación bilateral.</w:t>
      </w:r>
    </w:p>
    <w:p w14:paraId="3DBB2DFA" w14:textId="2ED9D0D9" w:rsidR="004C46C5" w:rsidRDefault="004C46C5" w:rsidP="00EB25DF">
      <w:pPr>
        <w:pStyle w:val="Textocomentario"/>
      </w:pPr>
      <w:r>
        <w:t xml:space="preserve">- </w:t>
      </w:r>
      <w:r w:rsidR="00EB25DF">
        <w:t xml:space="preserve">Con el documento donde conste que el contratista no se presentó tras la convocatoria o notificación. </w:t>
      </w:r>
    </w:p>
    <w:p w14:paraId="099770CC" w14:textId="77777777" w:rsidR="004C46C5" w:rsidRDefault="004C46C5" w:rsidP="00EB25DF">
      <w:pPr>
        <w:pStyle w:val="Textocomentario"/>
      </w:pPr>
      <w:r>
        <w:t xml:space="preserve">- </w:t>
      </w:r>
      <w:r w:rsidR="00EB25DF">
        <w:t xml:space="preserve">Termina con la ejecutoria del acto administrativo que liquida unilateralmente el contrato. </w:t>
      </w:r>
    </w:p>
    <w:p w14:paraId="4E81CCB4" w14:textId="77777777" w:rsidR="004C46C5" w:rsidRDefault="004C46C5" w:rsidP="00EB25DF">
      <w:pPr>
        <w:pStyle w:val="Textocomentario"/>
      </w:pPr>
    </w:p>
    <w:p w14:paraId="7DB53193" w14:textId="6496F034" w:rsidR="00EB25DF" w:rsidRDefault="00EB25DF" w:rsidP="00EB25DF">
      <w:pPr>
        <w:pStyle w:val="Textocomentario"/>
        <w:rPr>
          <w:b/>
        </w:rPr>
      </w:pPr>
      <w:r w:rsidRPr="004C46C5">
        <w:rPr>
          <w:b/>
        </w:rPr>
        <w:t>La posibilidad de liquidar unilateralmente el contrato sólo corresponde a la entidad estatal, no al contratista.</w:t>
      </w:r>
    </w:p>
    <w:p w14:paraId="0D89DA6D" w14:textId="77777777" w:rsidR="004C46C5" w:rsidRPr="004C46C5" w:rsidRDefault="004C46C5" w:rsidP="00EB25DF">
      <w:pPr>
        <w:pStyle w:val="Textocomentario"/>
        <w:rPr>
          <w:b/>
        </w:rPr>
      </w:pPr>
    </w:p>
    <w:p w14:paraId="787D59B8" w14:textId="77777777" w:rsidR="005F0437" w:rsidRDefault="005F0437" w:rsidP="00EB25DF">
      <w:pPr>
        <w:pStyle w:val="Textocomentario"/>
        <w:rPr>
          <w:b/>
        </w:rPr>
      </w:pPr>
      <w:r>
        <w:rPr>
          <w:b/>
        </w:rPr>
        <w:t>Audio 3</w:t>
      </w:r>
    </w:p>
    <w:p w14:paraId="089BBEAF" w14:textId="77777777" w:rsidR="005F0437" w:rsidRDefault="005F0437" w:rsidP="00EB25DF">
      <w:pPr>
        <w:pStyle w:val="Textocomentario"/>
        <w:rPr>
          <w:b/>
        </w:rPr>
      </w:pPr>
    </w:p>
    <w:p w14:paraId="17150848" w14:textId="7BE7D9CE" w:rsidR="004C46C5" w:rsidRPr="000E5AE5" w:rsidRDefault="00EB25DF" w:rsidP="00EB25DF">
      <w:pPr>
        <w:pStyle w:val="Textocomentario"/>
        <w:rPr>
          <w:b/>
        </w:rPr>
      </w:pPr>
      <w:r w:rsidRPr="000E5AE5">
        <w:rPr>
          <w:b/>
        </w:rPr>
        <w:t>L</w:t>
      </w:r>
      <w:r w:rsidR="004C46C5" w:rsidRPr="000E5AE5">
        <w:rPr>
          <w:b/>
        </w:rPr>
        <w:t xml:space="preserve">iquidación judicial </w:t>
      </w:r>
    </w:p>
    <w:p w14:paraId="11BD1A74" w14:textId="77777777" w:rsidR="004C46C5" w:rsidRDefault="004C46C5" w:rsidP="00EB25DF">
      <w:pPr>
        <w:pStyle w:val="Textocomentario"/>
      </w:pPr>
    </w:p>
    <w:p w14:paraId="1C730584" w14:textId="77777777" w:rsidR="00697BA3" w:rsidRDefault="00EB25DF" w:rsidP="00EB25DF">
      <w:pPr>
        <w:pStyle w:val="Textocomentario"/>
      </w:pPr>
      <w:r>
        <w:t>El contratista puede solicitar la liquidación judici</w:t>
      </w:r>
      <w:r w:rsidR="00697BA3">
        <w:t>al del contrato a través de la a</w:t>
      </w:r>
      <w:r>
        <w:t xml:space="preserve">cción de controversias contractuales cuando la liquidación del contrato no se haya logrado de mutuo acuerdo y la entidad estatal no lo haya liquidado unilateralmente dentro de los dos (2) meses siguientes al vencimiento del plazo convenido para liquidar de mutuo acuerdo o, en su defecto, del término establecido por la ley. </w:t>
      </w:r>
    </w:p>
    <w:p w14:paraId="440F2AED" w14:textId="77777777" w:rsidR="00697BA3" w:rsidRDefault="00697BA3" w:rsidP="00EB25DF">
      <w:pPr>
        <w:pStyle w:val="Textocomentario"/>
      </w:pPr>
    </w:p>
    <w:p w14:paraId="2B3BC087" w14:textId="251C93E5" w:rsidR="00EB25DF" w:rsidRDefault="00EB25DF" w:rsidP="00EB25DF">
      <w:pPr>
        <w:pStyle w:val="Textocomentario"/>
      </w:pPr>
      <w:r>
        <w:t>En ese orden de ideas, corresponde al juez llevarla a cabo siempre y cuando:</w:t>
      </w:r>
      <w:r w:rsidR="00697BA3">
        <w:t xml:space="preserve"> n</w:t>
      </w:r>
      <w:r>
        <w:t>o se haya producido una liquidación previa bilateral o unilateral o; respecto de puntos no liquidados.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3BC0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Light">
    <w:altName w:val="Helvetica Neue 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A0088"/>
    <w:multiLevelType w:val="hybridMultilevel"/>
    <w:tmpl w:val="2A2AE206"/>
    <w:lvl w:ilvl="0" w:tplc="7C5446E6">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ena Salas">
    <w15:presenceInfo w15:providerId="None" w15:userId="Milena Sa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D0"/>
    <w:rsid w:val="000E5AE5"/>
    <w:rsid w:val="001814A6"/>
    <w:rsid w:val="002E212D"/>
    <w:rsid w:val="00456951"/>
    <w:rsid w:val="004A0BE0"/>
    <w:rsid w:val="004C2F41"/>
    <w:rsid w:val="004C46C5"/>
    <w:rsid w:val="005F0437"/>
    <w:rsid w:val="00697BA3"/>
    <w:rsid w:val="006D30AC"/>
    <w:rsid w:val="006F511F"/>
    <w:rsid w:val="007627AF"/>
    <w:rsid w:val="007942F6"/>
    <w:rsid w:val="00794824"/>
    <w:rsid w:val="007A0403"/>
    <w:rsid w:val="007A186E"/>
    <w:rsid w:val="00911FFB"/>
    <w:rsid w:val="009555D0"/>
    <w:rsid w:val="00A20F70"/>
    <w:rsid w:val="00A822F4"/>
    <w:rsid w:val="00B02B0C"/>
    <w:rsid w:val="00B668E3"/>
    <w:rsid w:val="00B83455"/>
    <w:rsid w:val="00CF17FE"/>
    <w:rsid w:val="00CF54AA"/>
    <w:rsid w:val="00D8254E"/>
    <w:rsid w:val="00D8388C"/>
    <w:rsid w:val="00D85B81"/>
    <w:rsid w:val="00D90C8F"/>
    <w:rsid w:val="00DE146A"/>
    <w:rsid w:val="00E26E8C"/>
    <w:rsid w:val="00E67919"/>
    <w:rsid w:val="00E74922"/>
    <w:rsid w:val="00E84434"/>
    <w:rsid w:val="00EB25DF"/>
    <w:rsid w:val="00EC29C4"/>
    <w:rsid w:val="00EF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F2B2"/>
  <w15:chartTrackingRefBased/>
  <w15:docId w15:val="{70A07569-AC98-4256-A543-15D120C9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5D0"/>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5D0"/>
    <w:pPr>
      <w:ind w:left="720"/>
      <w:contextualSpacing/>
    </w:pPr>
  </w:style>
  <w:style w:type="table" w:styleId="Tablaconcuadrcula">
    <w:name w:val="Table Grid"/>
    <w:basedOn w:val="Tablanormal"/>
    <w:uiPriority w:val="59"/>
    <w:rsid w:val="009555D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555D0"/>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9555D0"/>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EB25DF"/>
    <w:rPr>
      <w:sz w:val="16"/>
      <w:szCs w:val="16"/>
    </w:rPr>
  </w:style>
  <w:style w:type="paragraph" w:styleId="Textocomentario">
    <w:name w:val="annotation text"/>
    <w:basedOn w:val="Normal"/>
    <w:link w:val="TextocomentarioCar"/>
    <w:uiPriority w:val="99"/>
    <w:semiHidden/>
    <w:unhideWhenUsed/>
    <w:rsid w:val="00EB25DF"/>
    <w:rPr>
      <w:sz w:val="20"/>
    </w:rPr>
  </w:style>
  <w:style w:type="character" w:customStyle="1" w:styleId="TextocomentarioCar">
    <w:name w:val="Texto comentario Car"/>
    <w:basedOn w:val="Fuentedeprrafopredeter"/>
    <w:link w:val="Textocomentario"/>
    <w:uiPriority w:val="99"/>
    <w:semiHidden/>
    <w:rsid w:val="00EB25DF"/>
    <w:rPr>
      <w:rFonts w:ascii="Arial" w:eastAsia="Times New Roman" w:hAnsi="Arial" w:cs="Times New Roman"/>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EB25DF"/>
    <w:rPr>
      <w:b/>
      <w:bCs/>
    </w:rPr>
  </w:style>
  <w:style w:type="character" w:customStyle="1" w:styleId="AsuntodelcomentarioCar">
    <w:name w:val="Asunto del comentario Car"/>
    <w:basedOn w:val="TextocomentarioCar"/>
    <w:link w:val="Asuntodelcomentario"/>
    <w:uiPriority w:val="99"/>
    <w:semiHidden/>
    <w:rsid w:val="00EB25DF"/>
    <w:rPr>
      <w:rFonts w:ascii="Arial" w:eastAsia="Times New Roman" w:hAnsi="Arial" w:cs="Times New Roman"/>
      <w:b/>
      <w:bCs/>
      <w:sz w:val="20"/>
      <w:szCs w:val="20"/>
      <w:lang w:val="es-CO" w:eastAsia="es-CO"/>
    </w:rPr>
  </w:style>
  <w:style w:type="paragraph" w:styleId="Textodeglobo">
    <w:name w:val="Balloon Text"/>
    <w:basedOn w:val="Normal"/>
    <w:link w:val="TextodegloboCar"/>
    <w:uiPriority w:val="99"/>
    <w:semiHidden/>
    <w:unhideWhenUsed/>
    <w:rsid w:val="00EB25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5DF"/>
    <w:rPr>
      <w:rFonts w:ascii="Segoe UI" w:eastAsia="Times New Roman" w:hAnsi="Segoe UI" w:cs="Segoe UI"/>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B42FE-751A-4377-8334-96B0554A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384</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38</cp:revision>
  <dcterms:created xsi:type="dcterms:W3CDTF">2020-03-26T23:24:00Z</dcterms:created>
  <dcterms:modified xsi:type="dcterms:W3CDTF">2020-09-24T18:26:00Z</dcterms:modified>
</cp:coreProperties>
</file>