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8547" w14:textId="77777777" w:rsidR="0088449F" w:rsidRPr="00FA486F" w:rsidRDefault="0088449F" w:rsidP="00FA486F">
      <w:pPr>
        <w:shd w:val="clear" w:color="auto" w:fill="FFFFFF"/>
        <w:jc w:val="center"/>
        <w:rPr>
          <w:b/>
          <w:color w:val="2D2D2D"/>
          <w:szCs w:val="24"/>
          <w:shd w:val="clear" w:color="auto" w:fill="FFFFFF"/>
          <w:lang w:val="es-ES_tradnl"/>
        </w:rPr>
      </w:pPr>
      <w:r w:rsidRPr="00FA486F">
        <w:rPr>
          <w:b/>
          <w:color w:val="2D2D2D"/>
          <w:szCs w:val="24"/>
          <w:shd w:val="clear" w:color="auto" w:fill="FFFFFF"/>
          <w:lang w:val="es-ES_tradnl"/>
        </w:rPr>
        <w:t>Tipos de contrato</w:t>
      </w:r>
    </w:p>
    <w:p w14:paraId="3AA5B874" w14:textId="02CAE8F1" w:rsidR="0088449F" w:rsidRPr="008B2F43" w:rsidRDefault="0088449F" w:rsidP="0088449F">
      <w:pPr>
        <w:shd w:val="clear" w:color="auto" w:fill="FFFFFF"/>
        <w:rPr>
          <w:b/>
          <w:color w:val="2D2D2D"/>
          <w:sz w:val="28"/>
          <w:szCs w:val="28"/>
          <w:shd w:val="clear" w:color="auto" w:fill="FFFFFF"/>
        </w:rPr>
      </w:pPr>
    </w:p>
    <w:p w14:paraId="3D5718A7" w14:textId="4FD35747" w:rsidR="004404EF" w:rsidRPr="008B2F43" w:rsidRDefault="004404EF" w:rsidP="0088449F">
      <w:pPr>
        <w:shd w:val="clear" w:color="auto" w:fill="FFFFFF"/>
        <w:rPr>
          <w:color w:val="2D2D2D"/>
          <w:szCs w:val="24"/>
          <w:shd w:val="clear" w:color="auto" w:fill="FFFFFF"/>
        </w:rPr>
      </w:pPr>
      <w:r w:rsidRPr="008B2F43">
        <w:rPr>
          <w:b/>
          <w:color w:val="2D2D2D"/>
          <w:szCs w:val="24"/>
          <w:shd w:val="clear" w:color="auto" w:fill="FFFFFF"/>
        </w:rPr>
        <w:t>Instrucción:</w:t>
      </w:r>
      <w:r w:rsidR="00EF736B">
        <w:rPr>
          <w:color w:val="2D2D2D"/>
          <w:szCs w:val="24"/>
          <w:shd w:val="clear" w:color="auto" w:fill="FFFFFF"/>
        </w:rPr>
        <w:t xml:space="preserve"> realizar recurso: </w:t>
      </w:r>
      <w:proofErr w:type="spellStart"/>
      <w:r w:rsidR="0065764C">
        <w:rPr>
          <w:color w:val="FF0000"/>
          <w:szCs w:val="24"/>
          <w:shd w:val="clear" w:color="auto" w:fill="FFFFFF"/>
        </w:rPr>
        <w:t>Edge</w:t>
      </w:r>
      <w:proofErr w:type="spellEnd"/>
      <w:r w:rsidR="0065764C">
        <w:rPr>
          <w:color w:val="FF0000"/>
          <w:szCs w:val="24"/>
          <w:shd w:val="clear" w:color="auto" w:fill="FFFFFF"/>
        </w:rPr>
        <w:t>/6</w:t>
      </w:r>
      <w:r w:rsidR="00EF736B" w:rsidRPr="00EF736B">
        <w:rPr>
          <w:color w:val="FF0000"/>
          <w:szCs w:val="24"/>
          <w:shd w:val="clear" w:color="auto" w:fill="FFFFFF"/>
        </w:rPr>
        <w:t xml:space="preserve"> </w:t>
      </w:r>
      <w:proofErr w:type="spellStart"/>
      <w:r w:rsidR="00EF736B" w:rsidRPr="00EF736B">
        <w:rPr>
          <w:color w:val="FF0000"/>
          <w:szCs w:val="24"/>
          <w:shd w:val="clear" w:color="auto" w:fill="FFFFFF"/>
        </w:rPr>
        <w:t>ítms</w:t>
      </w:r>
      <w:proofErr w:type="spellEnd"/>
      <w:r w:rsidR="00EF736B" w:rsidRPr="00EF736B">
        <w:rPr>
          <w:color w:val="FF0000"/>
          <w:szCs w:val="24"/>
          <w:shd w:val="clear" w:color="auto" w:fill="FFFFFF"/>
        </w:rPr>
        <w:t>/</w:t>
      </w:r>
      <w:r w:rsidR="0065764C">
        <w:rPr>
          <w:color w:val="FF0000"/>
          <w:szCs w:val="24"/>
          <w:shd w:val="clear" w:color="auto" w:fill="FFFFFF"/>
        </w:rPr>
        <w:t>conceptos colores</w:t>
      </w:r>
      <w:r w:rsidR="00851136" w:rsidRPr="00EF736B">
        <w:rPr>
          <w:color w:val="FF0000"/>
          <w:szCs w:val="24"/>
          <w:shd w:val="clear" w:color="auto" w:fill="FFFFFF"/>
        </w:rPr>
        <w:t xml:space="preserve"> </w:t>
      </w:r>
      <w:r w:rsidR="00CA4233">
        <w:rPr>
          <w:color w:val="2D2D2D"/>
          <w:szCs w:val="24"/>
          <w:shd w:val="clear" w:color="auto" w:fill="FFFFFF"/>
        </w:rPr>
        <w:t xml:space="preserve">y el recuadro en azul dejar suelto. </w:t>
      </w:r>
      <w:r w:rsidR="00851136" w:rsidRPr="008B2F43">
        <w:rPr>
          <w:color w:val="2D2D2D"/>
          <w:szCs w:val="24"/>
          <w:shd w:val="clear" w:color="auto" w:fill="FFFFFF"/>
        </w:rPr>
        <w:t xml:space="preserve">Va título + introducción + instrucción. </w:t>
      </w:r>
      <w:bookmarkStart w:id="0" w:name="_GoBack"/>
      <w:bookmarkEnd w:id="0"/>
      <w:r w:rsidR="00C51DC7">
        <w:rPr>
          <w:color w:val="2D2D2D"/>
          <w:szCs w:val="24"/>
          <w:shd w:val="clear" w:color="auto" w:fill="FFFFFF"/>
        </w:rPr>
        <w:t xml:space="preserve"> </w:t>
      </w:r>
    </w:p>
    <w:p w14:paraId="610AF0DB" w14:textId="7BC6E74F" w:rsidR="00851136" w:rsidRPr="008B2F43" w:rsidRDefault="00851136" w:rsidP="0088449F">
      <w:pPr>
        <w:shd w:val="clear" w:color="auto" w:fill="FFFFFF"/>
        <w:rPr>
          <w:color w:val="2D2D2D"/>
          <w:szCs w:val="24"/>
          <w:shd w:val="clear" w:color="auto" w:fill="FFFFFF"/>
        </w:rPr>
      </w:pPr>
    </w:p>
    <w:p w14:paraId="18A4B52B" w14:textId="77777777" w:rsidR="00851136" w:rsidRPr="008B2F43" w:rsidRDefault="00851136" w:rsidP="0088449F">
      <w:pPr>
        <w:shd w:val="clear" w:color="auto" w:fill="FFFFFF"/>
        <w:rPr>
          <w:color w:val="2D2D2D"/>
          <w:szCs w:val="24"/>
          <w:shd w:val="clear" w:color="auto" w:fill="FFFFFF"/>
        </w:rPr>
      </w:pPr>
    </w:p>
    <w:p w14:paraId="02A214CF" w14:textId="263B5B4D" w:rsidR="0088449F" w:rsidRDefault="0088449F" w:rsidP="0088449F">
      <w:pPr>
        <w:spacing w:after="150"/>
        <w:rPr>
          <w:rFonts w:cs="Arial"/>
          <w:szCs w:val="24"/>
          <w:lang w:val="es-ES"/>
        </w:rPr>
      </w:pPr>
      <w:r w:rsidRPr="008B2F43">
        <w:rPr>
          <w:rFonts w:cs="Arial"/>
          <w:color w:val="333333"/>
          <w:szCs w:val="24"/>
          <w:shd w:val="clear" w:color="auto" w:fill="FFFFFF"/>
        </w:rPr>
        <w:t>El art. 32 de la Ley 80 de 1993 define los contratos estatales como “</w:t>
      </w:r>
      <w:r w:rsidRPr="008B2F43">
        <w:rPr>
          <w:rFonts w:cs="Arial"/>
          <w:szCs w:val="24"/>
          <w:lang w:val="es-ES"/>
        </w:rPr>
        <w:t>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E2A6E77" w14:textId="77777777" w:rsidR="00AE6554" w:rsidRDefault="00AE6554" w:rsidP="0088449F">
      <w:pPr>
        <w:spacing w:after="150"/>
        <w:rPr>
          <w:rFonts w:cs="Arial"/>
          <w:szCs w:val="24"/>
          <w:lang w:val="es-ES"/>
        </w:rPr>
      </w:pPr>
    </w:p>
    <w:p w14:paraId="2CBBDCAF" w14:textId="536C5A3F" w:rsidR="00AE6554" w:rsidRDefault="008B2F43" w:rsidP="001B3951">
      <w:pPr>
        <w:spacing w:after="150"/>
        <w:jc w:val="center"/>
        <w:rPr>
          <w:rFonts w:cs="Arial"/>
          <w:szCs w:val="24"/>
          <w:lang w:val="es-ES"/>
        </w:rPr>
      </w:pPr>
      <w:r w:rsidRPr="008B2F43">
        <w:rPr>
          <w:rFonts w:cs="Arial"/>
          <w:b/>
          <w:i/>
          <w:color w:val="4472C4" w:themeColor="accent5"/>
          <w:szCs w:val="24"/>
          <w:lang w:val="es-ES"/>
        </w:rPr>
        <w:t xml:space="preserve">Haga clic en cada </w:t>
      </w:r>
      <w:r w:rsidR="001B3951">
        <w:rPr>
          <w:rFonts w:cs="Arial"/>
          <w:b/>
          <w:i/>
          <w:color w:val="4472C4" w:themeColor="accent5"/>
          <w:szCs w:val="24"/>
          <w:lang w:val="es-ES"/>
        </w:rPr>
        <w:t>título para conocer más:</w:t>
      </w:r>
      <w:r w:rsidR="001B3951">
        <w:rPr>
          <w:rFonts w:cs="Arial"/>
          <w:szCs w:val="24"/>
          <w:lang w:val="es-ES"/>
        </w:rPr>
        <w:t xml:space="preserve"> </w:t>
      </w:r>
    </w:p>
    <w:p w14:paraId="359FCA23" w14:textId="77777777" w:rsidR="00AE6554" w:rsidRDefault="00AE6554" w:rsidP="0088449F">
      <w:pPr>
        <w:spacing w:after="150"/>
        <w:rPr>
          <w:rFonts w:cs="Arial"/>
          <w:szCs w:val="24"/>
          <w:lang w:val="es-ES"/>
        </w:rPr>
      </w:pPr>
    </w:p>
    <w:p w14:paraId="08211A9F" w14:textId="77777777" w:rsidR="004404EF" w:rsidRDefault="004404EF" w:rsidP="0088449F">
      <w:pPr>
        <w:spacing w:after="150"/>
        <w:rPr>
          <w:rFonts w:cs="Arial"/>
          <w:szCs w:val="24"/>
          <w:lang w:val="es-ES"/>
        </w:rPr>
      </w:pPr>
    </w:p>
    <w:tbl>
      <w:tblPr>
        <w:tblStyle w:val="Cuadrculamedia1-nfasis3"/>
        <w:tblW w:w="0" w:type="auto"/>
        <w:tblLook w:val="04A0" w:firstRow="1" w:lastRow="0" w:firstColumn="1" w:lastColumn="0" w:noHBand="0" w:noVBand="1"/>
      </w:tblPr>
      <w:tblGrid>
        <w:gridCol w:w="2761"/>
        <w:gridCol w:w="6057"/>
      </w:tblGrid>
      <w:tr w:rsidR="0088449F" w:rsidRPr="00BE3B5C" w14:paraId="631C40BC" w14:textId="77777777" w:rsidTr="00280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1F04F46F" w14:textId="20B9FABE" w:rsidR="0088449F" w:rsidRPr="00BE3B5C" w:rsidRDefault="0088449F" w:rsidP="00280163">
            <w:pPr>
              <w:autoSpaceDE w:val="0"/>
              <w:autoSpaceDN w:val="0"/>
              <w:adjustRightInd w:val="0"/>
              <w:jc w:val="center"/>
              <w:rPr>
                <w:rFonts w:cs="Arial"/>
                <w:sz w:val="20"/>
              </w:rPr>
            </w:pPr>
            <w:r w:rsidRPr="00BE3B5C">
              <w:rPr>
                <w:rFonts w:cs="Arial"/>
                <w:sz w:val="20"/>
              </w:rPr>
              <w:t>C</w:t>
            </w:r>
            <w:r w:rsidR="009B03D3" w:rsidRPr="00BE3B5C">
              <w:rPr>
                <w:rFonts w:cs="Arial"/>
                <w:sz w:val="20"/>
              </w:rPr>
              <w:t>ontrato de obra</w:t>
            </w:r>
          </w:p>
        </w:tc>
        <w:tc>
          <w:tcPr>
            <w:tcW w:w="6176" w:type="dxa"/>
          </w:tcPr>
          <w:p w14:paraId="1C2218C0" w14:textId="77777777" w:rsidR="0088449F" w:rsidRPr="00BE3B5C" w:rsidRDefault="0088449F" w:rsidP="0028016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sz w:val="20"/>
              </w:rPr>
            </w:pPr>
            <w:r w:rsidRPr="00BE3B5C">
              <w:rPr>
                <w:rFonts w:cs="Arial"/>
                <w:b w:val="0"/>
                <w:sz w:val="20"/>
              </w:rPr>
              <w:t>Son aquellos que celebran las entidades estatales para la construcción, mantenimiento, instalación y, en general, para la realización de cualquier otro trabajo material sobre bienes inmuebles, cualquiera que sea la modalidad de ejecución y pago.</w:t>
            </w:r>
          </w:p>
        </w:tc>
      </w:tr>
      <w:tr w:rsidR="0088449F" w:rsidRPr="00BE3B5C" w14:paraId="41B25BB5" w14:textId="77777777" w:rsidTr="0028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DEC54F9" w14:textId="1F44D75C" w:rsidR="0088449F" w:rsidRPr="00BE3B5C" w:rsidRDefault="0088449F" w:rsidP="00280163">
            <w:pPr>
              <w:autoSpaceDE w:val="0"/>
              <w:autoSpaceDN w:val="0"/>
              <w:adjustRightInd w:val="0"/>
              <w:jc w:val="center"/>
              <w:rPr>
                <w:rFonts w:cs="Arial"/>
                <w:sz w:val="20"/>
              </w:rPr>
            </w:pPr>
            <w:r w:rsidRPr="00BE3B5C">
              <w:rPr>
                <w:rFonts w:cs="Arial"/>
                <w:sz w:val="20"/>
              </w:rPr>
              <w:t>C</w:t>
            </w:r>
            <w:r w:rsidR="009B03D3" w:rsidRPr="00BE3B5C">
              <w:rPr>
                <w:rFonts w:cs="Arial"/>
                <w:sz w:val="20"/>
              </w:rPr>
              <w:t>ontrato de consultoría</w:t>
            </w:r>
          </w:p>
        </w:tc>
        <w:tc>
          <w:tcPr>
            <w:tcW w:w="6176" w:type="dxa"/>
          </w:tcPr>
          <w:p w14:paraId="7E84A4C7" w14:textId="77777777" w:rsidR="0088449F" w:rsidRPr="00BE3B5C" w:rsidRDefault="0088449F" w:rsidP="002801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rPr>
            </w:pPr>
            <w:r w:rsidRPr="00BE3B5C">
              <w:rPr>
                <w:rFonts w:cs="Arial"/>
                <w:sz w:val="20"/>
              </w:rPr>
              <w:t xml:space="preserve">Son los que celebran las entidades estatales referidos a los estudios necesarios para la ejecución de proyectos de inversión, estudios de diagnóstico, </w:t>
            </w:r>
            <w:proofErr w:type="spellStart"/>
            <w:r w:rsidRPr="00BE3B5C">
              <w:rPr>
                <w:rFonts w:cs="Arial"/>
                <w:sz w:val="20"/>
              </w:rPr>
              <w:t>prefactibilidad</w:t>
            </w:r>
            <w:proofErr w:type="spellEnd"/>
            <w:r w:rsidRPr="00BE3B5C">
              <w:rPr>
                <w:rFonts w:cs="Arial"/>
                <w:sz w:val="20"/>
              </w:rPr>
              <w:t xml:space="preserve"> o factibilidad para programas o proyectos específicos, así como para asesorías técnicas de coordinación, control y supervisión.</w:t>
            </w:r>
          </w:p>
        </w:tc>
      </w:tr>
      <w:tr w:rsidR="0088449F" w:rsidRPr="00BE3B5C" w14:paraId="4A700031" w14:textId="77777777" w:rsidTr="00280163">
        <w:tc>
          <w:tcPr>
            <w:cnfStyle w:val="001000000000" w:firstRow="0" w:lastRow="0" w:firstColumn="1" w:lastColumn="0" w:oddVBand="0" w:evenVBand="0" w:oddHBand="0" w:evenHBand="0" w:firstRowFirstColumn="0" w:firstRowLastColumn="0" w:lastRowFirstColumn="0" w:lastRowLastColumn="0"/>
            <w:tcW w:w="2802" w:type="dxa"/>
            <w:vAlign w:val="center"/>
          </w:tcPr>
          <w:p w14:paraId="7274FA81" w14:textId="2B939D81" w:rsidR="0088449F" w:rsidRPr="00BE3B5C" w:rsidRDefault="0088449F" w:rsidP="00280163">
            <w:pPr>
              <w:autoSpaceDE w:val="0"/>
              <w:autoSpaceDN w:val="0"/>
              <w:adjustRightInd w:val="0"/>
              <w:jc w:val="center"/>
              <w:rPr>
                <w:rFonts w:cs="Arial"/>
                <w:sz w:val="20"/>
              </w:rPr>
            </w:pPr>
            <w:r w:rsidRPr="00BE3B5C">
              <w:rPr>
                <w:rFonts w:cs="Arial"/>
                <w:sz w:val="20"/>
              </w:rPr>
              <w:t>C</w:t>
            </w:r>
            <w:r w:rsidR="009B03D3" w:rsidRPr="00BE3B5C">
              <w:rPr>
                <w:rFonts w:cs="Arial"/>
                <w:sz w:val="20"/>
              </w:rPr>
              <w:t>ontrato de prestación de servicios</w:t>
            </w:r>
          </w:p>
        </w:tc>
        <w:tc>
          <w:tcPr>
            <w:tcW w:w="6176" w:type="dxa"/>
          </w:tcPr>
          <w:p w14:paraId="00C2C0ED" w14:textId="4DE4DD97" w:rsidR="0088449F" w:rsidRPr="00BE3B5C" w:rsidRDefault="0088449F" w:rsidP="002345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rPr>
            </w:pPr>
            <w:r w:rsidRPr="00BE3B5C">
              <w:rPr>
                <w:rFonts w:cs="Arial"/>
                <w:sz w:val="20"/>
              </w:rPr>
              <w:t>Son los contratos que celebran las entidades estatales para desarrollar actividades relacionadas con la administración o funcionamiento d</w:t>
            </w:r>
            <w:r>
              <w:rPr>
                <w:rFonts w:cs="Arial"/>
                <w:sz w:val="20"/>
              </w:rPr>
              <w:t>e la entidad. Estos contratos so</w:t>
            </w:r>
            <w:r w:rsidRPr="00BE3B5C">
              <w:rPr>
                <w:rFonts w:cs="Arial"/>
                <w:sz w:val="20"/>
              </w:rPr>
              <w:t>lo podrán celebrarse con personas naturales cuando dichas actividades no puedan llevarse a cabo con personal de planta o requieran conocimientos especiales.</w:t>
            </w:r>
            <w:r w:rsidR="002345D7" w:rsidRPr="00BE3B5C">
              <w:rPr>
                <w:rFonts w:cs="Arial"/>
                <w:sz w:val="20"/>
              </w:rPr>
              <w:t xml:space="preserve"> </w:t>
            </w:r>
          </w:p>
        </w:tc>
      </w:tr>
      <w:tr w:rsidR="0088449F" w:rsidRPr="00BE3B5C" w14:paraId="32F0BD01" w14:textId="77777777" w:rsidTr="0028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5C42534" w14:textId="171D1412" w:rsidR="0088449F" w:rsidRPr="00BE3B5C" w:rsidRDefault="0088449F" w:rsidP="00280163">
            <w:pPr>
              <w:autoSpaceDE w:val="0"/>
              <w:autoSpaceDN w:val="0"/>
              <w:adjustRightInd w:val="0"/>
              <w:jc w:val="center"/>
              <w:rPr>
                <w:rFonts w:cs="Arial"/>
                <w:sz w:val="20"/>
              </w:rPr>
            </w:pPr>
            <w:r w:rsidRPr="00BE3B5C">
              <w:rPr>
                <w:rFonts w:cs="Arial"/>
                <w:sz w:val="20"/>
              </w:rPr>
              <w:t>C</w:t>
            </w:r>
            <w:r w:rsidR="009B03D3" w:rsidRPr="00BE3B5C">
              <w:rPr>
                <w:rFonts w:cs="Arial"/>
                <w:sz w:val="20"/>
              </w:rPr>
              <w:t>ontrato de concesión</w:t>
            </w:r>
          </w:p>
        </w:tc>
        <w:tc>
          <w:tcPr>
            <w:tcW w:w="6176" w:type="dxa"/>
          </w:tcPr>
          <w:p w14:paraId="10D4132F" w14:textId="7FEF8F8C" w:rsidR="0088449F" w:rsidRPr="004E00A9" w:rsidRDefault="0088449F" w:rsidP="002345D7">
            <w:pPr>
              <w:spacing w:after="150"/>
              <w:cnfStyle w:val="000000100000" w:firstRow="0" w:lastRow="0" w:firstColumn="0" w:lastColumn="0" w:oddVBand="0" w:evenVBand="0" w:oddHBand="1" w:evenHBand="0" w:firstRowFirstColumn="0" w:firstRowLastColumn="0" w:lastRowFirstColumn="0" w:lastRowLastColumn="0"/>
              <w:rPr>
                <w:rFonts w:cs="Arial"/>
                <w:szCs w:val="24"/>
                <w:lang w:val="es-ES"/>
              </w:rPr>
            </w:pPr>
            <w:r w:rsidRPr="00BE3B5C">
              <w:rPr>
                <w:rFonts w:cs="Arial"/>
                <w:sz w:val="20"/>
              </w:rPr>
              <w:t>Son los que se celebran con el objeto de otorgar a una persona llamada concesionario la prestación, operación, explotación, organiz</w:t>
            </w:r>
            <w:r>
              <w:rPr>
                <w:rFonts w:cs="Arial"/>
                <w:sz w:val="20"/>
              </w:rPr>
              <w:t>ación o gestión total o parcial de un servicio público</w:t>
            </w:r>
            <w:r w:rsidRPr="00BE3B5C">
              <w:rPr>
                <w:rFonts w:cs="Arial"/>
                <w:sz w:val="20"/>
              </w:rPr>
              <w:t xml:space="preserve"> o la construcción, explotación</w:t>
            </w:r>
            <w:r>
              <w:rPr>
                <w:rFonts w:cs="Arial"/>
                <w:sz w:val="20"/>
              </w:rPr>
              <w:t xml:space="preserve"> o conservación total o parcial</w:t>
            </w:r>
            <w:r w:rsidRPr="00BE3B5C">
              <w:rPr>
                <w:rFonts w:cs="Arial"/>
                <w:sz w:val="20"/>
              </w:rPr>
              <w:t xml:space="preserve"> de una obra o bien destinados al servicio o uso público, bajo la vigilancia y control de la entidad concedent</w:t>
            </w:r>
            <w:r>
              <w:rPr>
                <w:rFonts w:cs="Arial"/>
                <w:sz w:val="20"/>
              </w:rPr>
              <w:t>e, a cambio de una remuneración</w:t>
            </w:r>
            <w:r w:rsidR="002345D7">
              <w:rPr>
                <w:rFonts w:cs="Arial"/>
                <w:sz w:val="20"/>
              </w:rPr>
              <w:t>.</w:t>
            </w:r>
          </w:p>
        </w:tc>
      </w:tr>
      <w:tr w:rsidR="0088449F" w:rsidRPr="00BE3B5C" w14:paraId="6DBBAED1" w14:textId="77777777" w:rsidTr="00280163">
        <w:tc>
          <w:tcPr>
            <w:cnfStyle w:val="001000000000" w:firstRow="0" w:lastRow="0" w:firstColumn="1" w:lastColumn="0" w:oddVBand="0" w:evenVBand="0" w:oddHBand="0" w:evenHBand="0" w:firstRowFirstColumn="0" w:firstRowLastColumn="0" w:lastRowFirstColumn="0" w:lastRowLastColumn="0"/>
            <w:tcW w:w="2802" w:type="dxa"/>
            <w:vAlign w:val="center"/>
          </w:tcPr>
          <w:p w14:paraId="588F9B6A" w14:textId="4689BD46" w:rsidR="0088449F" w:rsidRPr="00BE3B5C" w:rsidRDefault="0088449F" w:rsidP="00280163">
            <w:pPr>
              <w:autoSpaceDE w:val="0"/>
              <w:autoSpaceDN w:val="0"/>
              <w:adjustRightInd w:val="0"/>
              <w:jc w:val="center"/>
              <w:rPr>
                <w:rFonts w:cs="Arial"/>
                <w:sz w:val="20"/>
              </w:rPr>
            </w:pPr>
            <w:r w:rsidRPr="00BE3B5C">
              <w:rPr>
                <w:rFonts w:cs="Arial"/>
                <w:sz w:val="20"/>
              </w:rPr>
              <w:t>E</w:t>
            </w:r>
            <w:r w:rsidR="009B03D3" w:rsidRPr="00BE3B5C">
              <w:rPr>
                <w:rFonts w:cs="Arial"/>
                <w:sz w:val="20"/>
              </w:rPr>
              <w:t>ncargos fiduciarios y fiducia pública</w:t>
            </w:r>
          </w:p>
        </w:tc>
        <w:tc>
          <w:tcPr>
            <w:tcW w:w="6176" w:type="dxa"/>
          </w:tcPr>
          <w:p w14:paraId="184A195C" w14:textId="77777777" w:rsidR="0088449F" w:rsidRPr="00BE3B5C" w:rsidRDefault="0088449F" w:rsidP="0028016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rPr>
            </w:pPr>
            <w:r w:rsidRPr="00BE3B5C">
              <w:rPr>
                <w:rFonts w:cs="Arial"/>
                <w:sz w:val="20"/>
              </w:rPr>
              <w:t>Son los que celebran las entidades estatales con sociedades fiduciarias autorizadas por la Superintendencia Bancaria, cuy</w:t>
            </w:r>
            <w:r>
              <w:rPr>
                <w:rFonts w:cs="Arial"/>
                <w:sz w:val="20"/>
              </w:rPr>
              <w:t xml:space="preserve">o objeto es la administración </w:t>
            </w:r>
            <w:r w:rsidRPr="00BE3B5C">
              <w:rPr>
                <w:rFonts w:cs="Arial"/>
                <w:sz w:val="20"/>
              </w:rPr>
              <w:t>o manejo de los recursos vinculados a los contratos que tales entidades celebren.</w:t>
            </w:r>
          </w:p>
        </w:tc>
      </w:tr>
    </w:tbl>
    <w:p w14:paraId="17969242" w14:textId="77777777" w:rsidR="0088449F" w:rsidRDefault="0088449F" w:rsidP="0088449F">
      <w:pPr>
        <w:spacing w:after="150"/>
        <w:rPr>
          <w:rFonts w:cs="Arial"/>
          <w:szCs w:val="24"/>
        </w:rPr>
      </w:pPr>
    </w:p>
    <w:p w14:paraId="0675B35D" w14:textId="415CB229" w:rsidR="002E212D" w:rsidRDefault="00C51DC7">
      <w:r>
        <w:rPr>
          <w:noProof/>
          <w:lang w:val="en-US" w:eastAsia="en-US"/>
        </w:rPr>
        <mc:AlternateContent>
          <mc:Choice Requires="wps">
            <w:drawing>
              <wp:anchor distT="0" distB="0" distL="114300" distR="114300" simplePos="0" relativeHeight="251662336" behindDoc="0" locked="0" layoutInCell="1" allowOverlap="1" wp14:anchorId="1C2BB15A" wp14:editId="65D6EAA5">
                <wp:simplePos x="0" y="0"/>
                <wp:positionH relativeFrom="margin">
                  <wp:align>right</wp:align>
                </wp:positionH>
                <wp:positionV relativeFrom="paragraph">
                  <wp:posOffset>1607820</wp:posOffset>
                </wp:positionV>
                <wp:extent cx="6257925" cy="303847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6257925" cy="3038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5CD96D" w14:textId="4606C918" w:rsidR="00A3484A" w:rsidRPr="00C51DC7" w:rsidRDefault="00A3484A" w:rsidP="00A3484A">
                            <w:pPr>
                              <w:jc w:val="left"/>
                              <w:rPr>
                                <w:b/>
                                <w:lang w:val="es-MX"/>
                              </w:rPr>
                            </w:pPr>
                            <w:r w:rsidRPr="00A3484A">
                              <w:rPr>
                                <w:b/>
                                <w:color w:val="FF0000"/>
                                <w:sz w:val="50"/>
                                <w:szCs w:val="50"/>
                              </w:rPr>
                              <w:t>¿?</w:t>
                            </w:r>
                            <w:r>
                              <w:rPr>
                                <w:b/>
                                <w:color w:val="FF0000"/>
                                <w:sz w:val="50"/>
                                <w:szCs w:val="50"/>
                              </w:rPr>
                              <w:t xml:space="preserve"> </w:t>
                            </w:r>
                          </w:p>
                          <w:p w14:paraId="2F0E06FC" w14:textId="77777777" w:rsidR="00A3484A" w:rsidRDefault="00A3484A" w:rsidP="00A3484A">
                            <w:pPr>
                              <w:jc w:val="center"/>
                              <w:rPr>
                                <w:lang w:val="es-MX"/>
                              </w:rPr>
                            </w:pPr>
                          </w:p>
                          <w:p w14:paraId="482EC9F6" w14:textId="0D5D78AF" w:rsidR="00A3484A" w:rsidRDefault="00A3484A" w:rsidP="00A3484A">
                            <w:r>
                              <w:t>E</w:t>
                            </w:r>
                            <w:r w:rsidRPr="007814A0">
                              <w:t>l artículo 2.2.1.2.1.4.9 del Decreto 1082 de 2013 señala que las entidades estatales pueden contratar</w:t>
                            </w:r>
                            <w:r>
                              <w:t>,</w:t>
                            </w:r>
                            <w:r w:rsidRPr="007814A0">
                              <w:t xml:space="preserve"> bajo la modalidad de contratación directa</w:t>
                            </w:r>
                            <w:r>
                              <w:t>,</w:t>
                            </w:r>
                            <w:r w:rsidRPr="007814A0">
                              <w:t xml:space="preserve"> la prestación de servicios profesionales y de apoyo a la gestión con la per</w:t>
                            </w:r>
                            <w:r>
                              <w:t>sona natural o jurídica que esté</w:t>
                            </w:r>
                            <w:r w:rsidRPr="007814A0">
                              <w:t xml:space="preserve"> en capacidad de ejecutar el objeto del contrato.</w:t>
                            </w:r>
                          </w:p>
                          <w:p w14:paraId="55EB98AE" w14:textId="4A4D3383" w:rsidR="00A3484A" w:rsidRDefault="00A3484A" w:rsidP="00A3484A"/>
                          <w:p w14:paraId="0EBDFC70" w14:textId="4CF7E907" w:rsidR="00A3484A" w:rsidRDefault="00A3484A" w:rsidP="00A3484A">
                            <w:r>
                              <w:t xml:space="preserve">En el contrato de concesión </w:t>
                            </w:r>
                            <w:r w:rsidR="001F3195">
                              <w:t>l</w:t>
                            </w:r>
                            <w:r>
                              <w:t>a remuneración puede consistir en derechos, tarifas, tasas, valorización o en la participación que se le otorgue en la explotación del bien, o en una suma periódica, única o porcentual y, en general, en cualquier otra modalidad de contraprestación que las partes acuerden.</w:t>
                            </w:r>
                          </w:p>
                          <w:p w14:paraId="0DC57B0A" w14:textId="7E12CD59" w:rsidR="00C51DC7" w:rsidRPr="00A3484A" w:rsidRDefault="00C51DC7" w:rsidP="00A3484A">
                            <w:pPr>
                              <w:jc w:val="left"/>
                              <w:rPr>
                                <w:b/>
                                <w:color w:val="FF0000"/>
                                <w:sz w:val="50"/>
                                <w:szCs w:val="50"/>
                              </w:rPr>
                            </w:pPr>
                          </w:p>
                          <w:p w14:paraId="6DB9060C" w14:textId="6E29DCE3" w:rsidR="00C51DC7" w:rsidRDefault="00C51DC7" w:rsidP="00C51DC7">
                            <w:pPr>
                              <w:jc w:val="center"/>
                              <w:rPr>
                                <w:lang w:val="es-MX"/>
                              </w:rPr>
                            </w:pPr>
                          </w:p>
                          <w:p w14:paraId="570BEB45" w14:textId="7F4DAB2D" w:rsidR="00C51DC7" w:rsidRDefault="00C51DC7" w:rsidP="00C51DC7">
                            <w:pPr>
                              <w:jc w:val="center"/>
                              <w:rPr>
                                <w:lang w:val="es-MX"/>
                              </w:rPr>
                            </w:pPr>
                          </w:p>
                          <w:p w14:paraId="61ACD9E0" w14:textId="77777777" w:rsidR="00C51DC7" w:rsidRPr="00C51DC7" w:rsidRDefault="00C51DC7" w:rsidP="00C51DC7">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BB15A" id="Rectángulo redondeado 4" o:spid="_x0000_s1028" style="position:absolute;left:0;text-align:left;margin-left:441.55pt;margin-top:126.6pt;width:492.75pt;height:239.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" fillcolor="#5b9bd5 [3204]" strokecolor="#1f4d78 [1604]" strokeweight="1pt">
                <v:stroke joinstyle="miter"/>
                <v:textbox>
                  <w:txbxContent>
                    <w:p w14:paraId="325CD96D" w14:textId="4606C918" w:rsidR="00A3484A" w:rsidRPr="00C51DC7" w:rsidRDefault="00A3484A" w:rsidP="00A3484A">
                      <w:pPr>
                        <w:jc w:val="left"/>
                        <w:rPr>
                          <w:b/>
                          <w:lang w:val="es-MX"/>
                        </w:rPr>
                      </w:pPr>
                      <w:r w:rsidRPr="00A3484A">
                        <w:rPr>
                          <w:b/>
                          <w:color w:val="FF0000"/>
                          <w:sz w:val="50"/>
                          <w:szCs w:val="50"/>
                        </w:rPr>
                        <w:t>¿?</w:t>
                      </w:r>
                      <w:r>
                        <w:rPr>
                          <w:b/>
                          <w:color w:val="FF0000"/>
                          <w:sz w:val="50"/>
                          <w:szCs w:val="50"/>
                        </w:rPr>
                        <w:t xml:space="preserve"> </w:t>
                      </w:r>
                    </w:p>
                    <w:p w14:paraId="2F0E06FC" w14:textId="77777777" w:rsidR="00A3484A" w:rsidRDefault="00A3484A" w:rsidP="00A3484A">
                      <w:pPr>
                        <w:jc w:val="center"/>
                        <w:rPr>
                          <w:lang w:val="es-MX"/>
                        </w:rPr>
                      </w:pPr>
                    </w:p>
                    <w:p w14:paraId="482EC9F6" w14:textId="0D5D78AF" w:rsidR="00A3484A" w:rsidRDefault="00A3484A" w:rsidP="00A3484A">
                      <w:r>
                        <w:t>E</w:t>
                      </w:r>
                      <w:r w:rsidRPr="007814A0">
                        <w:t>l artículo 2.2.1.2.1.4.9 del Decreto 1082 de 2013 señala que las entidades estatales pueden contratar</w:t>
                      </w:r>
                      <w:r>
                        <w:t>,</w:t>
                      </w:r>
                      <w:r w:rsidRPr="007814A0">
                        <w:t xml:space="preserve"> bajo la modalidad de contratación directa</w:t>
                      </w:r>
                      <w:r>
                        <w:t>,</w:t>
                      </w:r>
                      <w:r w:rsidRPr="007814A0">
                        <w:t xml:space="preserve"> la prestación de servicios profesionales y de apoyo a la gestión con la per</w:t>
                      </w:r>
                      <w:r>
                        <w:t>sona natural o jurídica que esté</w:t>
                      </w:r>
                      <w:r w:rsidRPr="007814A0">
                        <w:t xml:space="preserve"> en capacidad de ejecutar el objeto del contrato.</w:t>
                      </w:r>
                    </w:p>
                    <w:p w14:paraId="55EB98AE" w14:textId="4A4D3383" w:rsidR="00A3484A" w:rsidRDefault="00A3484A" w:rsidP="00A3484A"/>
                    <w:p w14:paraId="0EBDFC70" w14:textId="4CF7E907" w:rsidR="00A3484A" w:rsidRDefault="00A3484A" w:rsidP="00A3484A">
                      <w:r>
                        <w:t xml:space="preserve">En el contrato de concesión </w:t>
                      </w:r>
                      <w:r w:rsidR="001F3195">
                        <w:t>l</w:t>
                      </w:r>
                      <w:bookmarkStart w:id="1" w:name="_GoBack"/>
                      <w:bookmarkEnd w:id="1"/>
                      <w:r>
                        <w:t xml:space="preserve">a remuneración </w:t>
                      </w:r>
                      <w:r>
                        <w:t>puede consistir en derecho</w:t>
                      </w:r>
                      <w:r>
                        <w:t>s, tarifas, tasas, valorización</w:t>
                      </w:r>
                      <w:r>
                        <w:t xml:space="preserve"> o en la participación que se le otorgue en la explotación del bien, o en una suma periódica, única o porcentual y, en general, en cualquier otra modalidad de contraprestación que las partes acuerden.</w:t>
                      </w:r>
                    </w:p>
                    <w:p w14:paraId="0DC57B0A" w14:textId="7E12CD59" w:rsidR="00C51DC7" w:rsidRPr="00A3484A" w:rsidRDefault="00C51DC7" w:rsidP="00A3484A">
                      <w:pPr>
                        <w:jc w:val="left"/>
                        <w:rPr>
                          <w:b/>
                          <w:color w:val="FF0000"/>
                          <w:sz w:val="50"/>
                          <w:szCs w:val="50"/>
                        </w:rPr>
                      </w:pPr>
                    </w:p>
                    <w:p w14:paraId="6DB9060C" w14:textId="6E29DCE3" w:rsidR="00C51DC7" w:rsidRDefault="00C51DC7" w:rsidP="00C51DC7">
                      <w:pPr>
                        <w:jc w:val="center"/>
                        <w:rPr>
                          <w:lang w:val="es-MX"/>
                        </w:rPr>
                      </w:pPr>
                    </w:p>
                    <w:p w14:paraId="570BEB45" w14:textId="7F4DAB2D" w:rsidR="00C51DC7" w:rsidRDefault="00C51DC7" w:rsidP="00C51DC7">
                      <w:pPr>
                        <w:jc w:val="center"/>
                        <w:rPr>
                          <w:lang w:val="es-MX"/>
                        </w:rPr>
                      </w:pPr>
                    </w:p>
                    <w:p w14:paraId="61ACD9E0" w14:textId="77777777" w:rsidR="00C51DC7" w:rsidRPr="00C51DC7" w:rsidRDefault="00C51DC7" w:rsidP="00C51DC7">
                      <w:pPr>
                        <w:jc w:val="center"/>
                        <w:rPr>
                          <w:lang w:val="es-MX"/>
                        </w:rPr>
                      </w:pPr>
                    </w:p>
                  </w:txbxContent>
                </v:textbox>
                <w10:wrap anchorx="margin"/>
              </v:roundrect>
            </w:pict>
          </mc:Fallback>
        </mc:AlternateContent>
      </w:r>
    </w:p>
    <w:sectPr w:rsidR="002E2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904C6"/>
    <w:multiLevelType w:val="hybridMultilevel"/>
    <w:tmpl w:val="8C82C668"/>
    <w:lvl w:ilvl="0" w:tplc="1E5620E8">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9F"/>
    <w:rsid w:val="001B3951"/>
    <w:rsid w:val="001F3195"/>
    <w:rsid w:val="002345D7"/>
    <w:rsid w:val="002E212D"/>
    <w:rsid w:val="003062C2"/>
    <w:rsid w:val="004404EF"/>
    <w:rsid w:val="004D7D70"/>
    <w:rsid w:val="0065764C"/>
    <w:rsid w:val="00851136"/>
    <w:rsid w:val="0088449F"/>
    <w:rsid w:val="008B2F43"/>
    <w:rsid w:val="0090683E"/>
    <w:rsid w:val="00920936"/>
    <w:rsid w:val="009B03D3"/>
    <w:rsid w:val="00A3484A"/>
    <w:rsid w:val="00AE6554"/>
    <w:rsid w:val="00C002CD"/>
    <w:rsid w:val="00C51DC7"/>
    <w:rsid w:val="00CA4233"/>
    <w:rsid w:val="00D471E1"/>
    <w:rsid w:val="00EF736B"/>
    <w:rsid w:val="00FA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6730"/>
  <w15:chartTrackingRefBased/>
  <w15:docId w15:val="{5190309B-80C8-45EF-A1BD-5B04712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9F"/>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449F"/>
    <w:pPr>
      <w:ind w:left="720"/>
      <w:contextualSpacing/>
    </w:pPr>
  </w:style>
  <w:style w:type="paragraph" w:styleId="Textocomentario">
    <w:name w:val="annotation text"/>
    <w:basedOn w:val="Normal"/>
    <w:link w:val="TextocomentarioCar"/>
    <w:uiPriority w:val="99"/>
    <w:semiHidden/>
    <w:unhideWhenUsed/>
    <w:rsid w:val="0088449F"/>
    <w:rPr>
      <w:sz w:val="20"/>
    </w:rPr>
  </w:style>
  <w:style w:type="character" w:customStyle="1" w:styleId="TextocomentarioCar">
    <w:name w:val="Texto comentario Car"/>
    <w:basedOn w:val="Fuentedeprrafopredeter"/>
    <w:link w:val="Textocomentario"/>
    <w:uiPriority w:val="99"/>
    <w:semiHidden/>
    <w:rsid w:val="0088449F"/>
    <w:rPr>
      <w:rFonts w:ascii="Arial" w:eastAsia="Times New Roman" w:hAnsi="Arial" w:cs="Times New Roman"/>
      <w:sz w:val="20"/>
      <w:szCs w:val="20"/>
      <w:lang w:val="es-CO" w:eastAsia="es-CO"/>
    </w:rPr>
  </w:style>
  <w:style w:type="table" w:styleId="Cuadrculamedia1-nfasis3">
    <w:name w:val="Medium Grid 1 Accent 3"/>
    <w:basedOn w:val="Tablanormal"/>
    <w:uiPriority w:val="67"/>
    <w:rsid w:val="0088449F"/>
    <w:pPr>
      <w:spacing w:after="0" w:line="240" w:lineRule="auto"/>
    </w:pPr>
    <w:rPr>
      <w:lang w:val="es-CO"/>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Refdecomentario">
    <w:name w:val="annotation reference"/>
    <w:basedOn w:val="Fuentedeprrafopredeter"/>
    <w:uiPriority w:val="99"/>
    <w:semiHidden/>
    <w:unhideWhenUsed/>
    <w:rsid w:val="0088449F"/>
    <w:rPr>
      <w:sz w:val="16"/>
      <w:szCs w:val="16"/>
    </w:rPr>
  </w:style>
  <w:style w:type="paragraph" w:styleId="Textodeglobo">
    <w:name w:val="Balloon Text"/>
    <w:basedOn w:val="Normal"/>
    <w:link w:val="TextodegloboCar"/>
    <w:uiPriority w:val="99"/>
    <w:semiHidden/>
    <w:unhideWhenUsed/>
    <w:rsid w:val="00884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49F"/>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Con93</b:Tag>
    <b:SourceType>Book</b:SourceType>
    <b:Guid>{C8B78265-8F7C-42FA-9BF2-A27A7EE4AAC9}</b:Guid>
    <b:Author>
      <b:Author>
        <b:Corporate>Congreso de la República</b:Corporate>
      </b:Author>
    </b:Author>
    <b:Title>Ley 80 de 1993</b:Title>
    <b:Year>1993</b:Year>
    <b:City>Bogotá</b:City>
    <b:Publisher>Imprenta Nacional</b:Publisher>
    <b:RefOrder>7</b:RefOrder>
  </b:Source>
</b:Sources>
</file>

<file path=customXml/itemProps1.xml><?xml version="1.0" encoding="utf-8"?>
<ds:datastoreItem xmlns:ds="http://schemas.openxmlformats.org/officeDocument/2006/customXml" ds:itemID="{08878B2B-883A-4A52-A7FE-B7076D54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331</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23</cp:revision>
  <dcterms:created xsi:type="dcterms:W3CDTF">2020-03-26T08:08:00Z</dcterms:created>
  <dcterms:modified xsi:type="dcterms:W3CDTF">2020-09-22T04:16:00Z</dcterms:modified>
</cp:coreProperties>
</file>