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9B" w:rsidRDefault="00B7249B" w:rsidP="00B7249B">
      <w:pPr>
        <w:jc w:val="center"/>
        <w:rPr>
          <w:b/>
        </w:rPr>
      </w:pPr>
      <w:r w:rsidRPr="00B7249B">
        <w:rPr>
          <w:b/>
        </w:rPr>
        <w:t>Propósito de los contratos estatales</w:t>
      </w:r>
    </w:p>
    <w:p w:rsidR="00696AB5" w:rsidRDefault="00696AB5" w:rsidP="00B7249B">
      <w:pPr>
        <w:jc w:val="center"/>
        <w:rPr>
          <w:b/>
        </w:rPr>
      </w:pPr>
    </w:p>
    <w:p w:rsidR="00696AB5" w:rsidRPr="00696AB5" w:rsidRDefault="00696AB5" w:rsidP="00696AB5">
      <w:pPr>
        <w:jc w:val="left"/>
      </w:pPr>
      <w:r>
        <w:rPr>
          <w:b/>
        </w:rPr>
        <w:t xml:space="preserve">Instrucción: </w:t>
      </w:r>
      <w:r w:rsidRPr="00696AB5">
        <w:t xml:space="preserve">realizar interactividad con la plantilla: </w:t>
      </w:r>
      <w:proofErr w:type="spellStart"/>
      <w:r w:rsidR="004B6179" w:rsidRPr="004B6179">
        <w:rPr>
          <w:color w:val="FF0000"/>
        </w:rPr>
        <w:t>Edge</w:t>
      </w:r>
      <w:proofErr w:type="spellEnd"/>
      <w:r w:rsidR="004B6179" w:rsidRPr="004B6179">
        <w:rPr>
          <w:color w:val="FF0000"/>
        </w:rPr>
        <w:t>/4 ítems/elementos_3</w:t>
      </w:r>
      <w:r w:rsidR="00B6502D">
        <w:rPr>
          <w:color w:val="FF0000"/>
        </w:rPr>
        <w:t xml:space="preserve"> poner personaje de la asignatura (mujer)</w:t>
      </w:r>
      <w:r w:rsidRPr="004B6179">
        <w:rPr>
          <w:color w:val="FF0000"/>
        </w:rPr>
        <w:t xml:space="preserve"> </w:t>
      </w:r>
      <w:r>
        <w:t xml:space="preserve">va de 4 secciones, las letras representan una sección y cuando se dé clic en cada una se despliega el contenido correspondiente (se señalan con las mismas letras) acompañados de una imagen. Va título + introducción + la interactividad. </w:t>
      </w:r>
    </w:p>
    <w:p w:rsidR="00B7249B" w:rsidRPr="003A6755" w:rsidRDefault="00B7249B" w:rsidP="00696AB5">
      <w:pPr>
        <w:jc w:val="left"/>
        <w:rPr>
          <w:b/>
        </w:rPr>
      </w:pPr>
      <w:bookmarkStart w:id="0" w:name="_GoBack"/>
    </w:p>
    <w:p w:rsidR="00B7249B" w:rsidRPr="003A6755" w:rsidRDefault="00B7249B" w:rsidP="00B7249B">
      <w:pPr>
        <w:autoSpaceDE w:val="0"/>
        <w:autoSpaceDN w:val="0"/>
        <w:adjustRightInd w:val="0"/>
        <w:rPr>
          <w:rFonts w:cs="Arial"/>
          <w:b/>
          <w:szCs w:val="24"/>
        </w:rPr>
      </w:pPr>
      <w:r w:rsidRPr="003A6755">
        <w:rPr>
          <w:b/>
          <w:szCs w:val="24"/>
        </w:rPr>
        <w:t xml:space="preserve">La contratación pública se constituye en el mecanismo por excelencia para satisfacer eficazmente el interés colectivo de la sociedad, mediante el oportuno suministro de los bienes y servicios necesarios para el crecimiento económico y social sostenible del país. Por ende, la Ley 80 de 1993 (artículo 3º) y demás normas, determinan que el propósito central de la </w:t>
      </w:r>
      <w:r w:rsidRPr="003A6755">
        <w:rPr>
          <w:rFonts w:cs="Arial"/>
          <w:b/>
          <w:szCs w:val="24"/>
        </w:rPr>
        <w:t>contratación a cargo del Estado está directamente relacionado con el cumplimiento de los fines del mismo, esto es, con la atención en forma prioritaria del interés general y del bien común, donde:</w:t>
      </w:r>
    </w:p>
    <w:bookmarkEnd w:id="0"/>
    <w:p w:rsidR="00030B18" w:rsidRDefault="00030B18" w:rsidP="00B7249B">
      <w:pPr>
        <w:autoSpaceDE w:val="0"/>
        <w:autoSpaceDN w:val="0"/>
        <w:adjustRightInd w:val="0"/>
        <w:rPr>
          <w:rFonts w:cs="Arial"/>
          <w:szCs w:val="24"/>
        </w:rPr>
      </w:pPr>
    </w:p>
    <w:p w:rsidR="00030B18" w:rsidRPr="00030B18" w:rsidRDefault="00030B18" w:rsidP="00030B18">
      <w:pPr>
        <w:autoSpaceDE w:val="0"/>
        <w:autoSpaceDN w:val="0"/>
        <w:adjustRightInd w:val="0"/>
        <w:jc w:val="center"/>
        <w:rPr>
          <w:rFonts w:cs="Arial"/>
          <w:b/>
          <w:color w:val="4472C4" w:themeColor="accent5"/>
          <w:szCs w:val="24"/>
        </w:rPr>
      </w:pPr>
      <w:r w:rsidRPr="00030B18">
        <w:rPr>
          <w:rFonts w:cs="Arial"/>
          <w:b/>
          <w:color w:val="4472C4" w:themeColor="accent5"/>
          <w:szCs w:val="24"/>
        </w:rPr>
        <w:t xml:space="preserve">Haga clic en cada </w:t>
      </w:r>
      <w:r w:rsidR="00E3393B">
        <w:rPr>
          <w:rFonts w:cs="Arial"/>
          <w:b/>
          <w:color w:val="4472C4" w:themeColor="accent5"/>
          <w:szCs w:val="24"/>
        </w:rPr>
        <w:t xml:space="preserve">botón </w:t>
      </w:r>
      <w:r w:rsidRPr="00030B18">
        <w:rPr>
          <w:rFonts w:cs="Arial"/>
          <w:b/>
          <w:color w:val="4472C4" w:themeColor="accent5"/>
          <w:szCs w:val="24"/>
        </w:rPr>
        <w:t>para ampliar la temática:</w:t>
      </w:r>
    </w:p>
    <w:p w:rsidR="00B7249B" w:rsidRDefault="00B7249B" w:rsidP="00B7249B">
      <w:pPr>
        <w:autoSpaceDE w:val="0"/>
        <w:autoSpaceDN w:val="0"/>
        <w:adjustRightInd w:val="0"/>
        <w:rPr>
          <w:rFonts w:cs="Arial"/>
          <w:szCs w:val="24"/>
        </w:rPr>
      </w:pPr>
    </w:p>
    <w:p w:rsidR="00B7249B" w:rsidRDefault="00B7249B" w:rsidP="00B7249B">
      <w:pPr>
        <w:autoSpaceDE w:val="0"/>
        <w:autoSpaceDN w:val="0"/>
        <w:adjustRightInd w:val="0"/>
        <w:rPr>
          <w:rFonts w:cs="Arial"/>
          <w:szCs w:val="24"/>
        </w:rPr>
      </w:pPr>
      <w:r>
        <w:rPr>
          <w:noProof/>
          <w:lang w:val="en-US" w:eastAsia="en-US"/>
        </w:rPr>
        <w:drawing>
          <wp:inline distT="0" distB="0" distL="0" distR="0">
            <wp:extent cx="4762500" cy="3457575"/>
            <wp:effectExtent l="0" t="0" r="0" b="9525"/>
            <wp:docPr id="1" name="Imagen 1" descr="web element infographic vector ico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element infographic vector icon art"/>
                    <pic:cNvPicPr>
                      <a:picLocks noChangeAspect="1" noChangeArrowheads="1"/>
                    </pic:cNvPicPr>
                  </pic:nvPicPr>
                  <pic:blipFill rotWithShape="1">
                    <a:blip r:embed="rId5">
                      <a:extLst>
                        <a:ext uri="{28A0092B-C50C-407E-A947-70E740481C1C}">
                          <a14:useLocalDpi xmlns:a14="http://schemas.microsoft.com/office/drawing/2010/main" val="0"/>
                        </a:ext>
                      </a:extLst>
                    </a:blip>
                    <a:srcRect t="23000" b="4400"/>
                    <a:stretch/>
                  </pic:blipFill>
                  <pic:spPr bwMode="auto">
                    <a:xfrm>
                      <a:off x="0" y="0"/>
                      <a:ext cx="4762500" cy="3457575"/>
                    </a:xfrm>
                    <a:prstGeom prst="rect">
                      <a:avLst/>
                    </a:prstGeom>
                    <a:noFill/>
                    <a:ln>
                      <a:noFill/>
                    </a:ln>
                    <a:extLst>
                      <a:ext uri="{53640926-AAD7-44D8-BBD7-CCE9431645EC}">
                        <a14:shadowObscured xmlns:a14="http://schemas.microsoft.com/office/drawing/2010/main"/>
                      </a:ext>
                    </a:extLst>
                  </pic:spPr>
                </pic:pic>
              </a:graphicData>
            </a:graphic>
          </wp:inline>
        </w:drawing>
      </w:r>
    </w:p>
    <w:p w:rsidR="00B7249B" w:rsidRDefault="00B7249B"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Default="001F2382" w:rsidP="00B7249B">
      <w:pPr>
        <w:autoSpaceDE w:val="0"/>
        <w:autoSpaceDN w:val="0"/>
        <w:adjustRightInd w:val="0"/>
        <w:rPr>
          <w:rFonts w:cs="Arial"/>
          <w:szCs w:val="24"/>
        </w:rPr>
      </w:pPr>
    </w:p>
    <w:p w:rsidR="001F2382" w:rsidRPr="00BD0706" w:rsidRDefault="001F2382" w:rsidP="00B7249B">
      <w:pPr>
        <w:autoSpaceDE w:val="0"/>
        <w:autoSpaceDN w:val="0"/>
        <w:adjustRightInd w:val="0"/>
        <w:rPr>
          <w:rFonts w:cs="Arial"/>
          <w:b/>
          <w:szCs w:val="24"/>
        </w:rPr>
      </w:pPr>
      <w:r w:rsidRPr="00BD0706">
        <w:rPr>
          <w:rFonts w:cs="Arial"/>
          <w:b/>
          <w:szCs w:val="24"/>
          <w:highlight w:val="yellow"/>
        </w:rPr>
        <w:t>A</w:t>
      </w:r>
    </w:p>
    <w:p w:rsidR="00B7249B" w:rsidRDefault="00F515E3" w:rsidP="00B7249B">
      <w:pPr>
        <w:autoSpaceDE w:val="0"/>
        <w:autoSpaceDN w:val="0"/>
        <w:adjustRightInd w:val="0"/>
        <w:rPr>
          <w:rFonts w:cs="Arial"/>
          <w:szCs w:val="24"/>
        </w:rPr>
      </w:pPr>
      <w:r>
        <w:rPr>
          <w:rFonts w:cs="Arial"/>
          <w:noProof/>
          <w:szCs w:val="24"/>
          <w:lang w:val="en-US" w:eastAsia="en-US"/>
        </w:rPr>
        <w:drawing>
          <wp:inline distT="0" distB="0" distL="0" distR="0">
            <wp:extent cx="5486400" cy="3200400"/>
            <wp:effectExtent l="38100" t="38100" r="1905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7249B" w:rsidRDefault="00B7249B" w:rsidP="00B7249B">
      <w:pPr>
        <w:autoSpaceDE w:val="0"/>
        <w:autoSpaceDN w:val="0"/>
        <w:adjustRightInd w:val="0"/>
        <w:rPr>
          <w:rFonts w:cs="Arial"/>
          <w:szCs w:val="24"/>
        </w:rPr>
      </w:pPr>
    </w:p>
    <w:p w:rsidR="00B7249B" w:rsidRDefault="00B7249B" w:rsidP="00B7249B">
      <w:pPr>
        <w:autoSpaceDE w:val="0"/>
        <w:autoSpaceDN w:val="0"/>
        <w:adjustRightInd w:val="0"/>
        <w:rPr>
          <w:rFonts w:cs="Arial"/>
          <w:b/>
          <w:bCs/>
          <w:szCs w:val="24"/>
        </w:rPr>
      </w:pPr>
    </w:p>
    <w:p w:rsidR="00A07153" w:rsidRDefault="00A07153" w:rsidP="00B7249B">
      <w:pPr>
        <w:autoSpaceDE w:val="0"/>
        <w:autoSpaceDN w:val="0"/>
        <w:adjustRightInd w:val="0"/>
        <w:rPr>
          <w:rFonts w:cs="Arial"/>
          <w:szCs w:val="24"/>
        </w:rPr>
      </w:pPr>
      <w:r w:rsidRPr="00A07153">
        <w:rPr>
          <w:rFonts w:cs="Arial"/>
          <w:b/>
          <w:bCs/>
          <w:szCs w:val="24"/>
          <w:highlight w:val="yellow"/>
        </w:rPr>
        <w:t>B</w:t>
      </w:r>
      <w:r w:rsidR="004F226D">
        <w:rPr>
          <w:rFonts w:cs="Arial"/>
          <w:b/>
          <w:bCs/>
          <w:szCs w:val="24"/>
        </w:rPr>
        <w:t xml:space="preserve"> </w:t>
      </w:r>
      <w:r w:rsidR="004F226D" w:rsidRPr="004A7D70">
        <w:rPr>
          <w:rFonts w:cs="Arial"/>
          <w:b/>
          <w:bCs/>
          <w:szCs w:val="24"/>
          <w:highlight w:val="yellow"/>
        </w:rPr>
        <w:t>(</w:t>
      </w:r>
      <w:r w:rsidR="004F226D" w:rsidRPr="004A7D70">
        <w:rPr>
          <w:rFonts w:ascii="Trebuchet MS" w:hAnsi="Trebuchet MS"/>
          <w:b/>
          <w:bCs/>
          <w:color w:val="595959"/>
          <w:sz w:val="20"/>
          <w:highlight w:val="yellow"/>
          <w:shd w:val="clear" w:color="auto" w:fill="ECECEC"/>
        </w:rPr>
        <w:t>IST_23136_00521)</w:t>
      </w:r>
    </w:p>
    <w:p w:rsidR="00B7249B" w:rsidRDefault="00B7249B" w:rsidP="00B7249B">
      <w:pPr>
        <w:autoSpaceDE w:val="0"/>
        <w:autoSpaceDN w:val="0"/>
        <w:adjustRightInd w:val="0"/>
        <w:rPr>
          <w:rFonts w:cs="Arial"/>
          <w:szCs w:val="24"/>
        </w:rPr>
      </w:pPr>
    </w:p>
    <w:p w:rsidR="00B7249B" w:rsidRDefault="00B7249B" w:rsidP="00B7249B">
      <w:pPr>
        <w:autoSpaceDE w:val="0"/>
        <w:autoSpaceDN w:val="0"/>
        <w:adjustRightInd w:val="0"/>
        <w:rPr>
          <w:rFonts w:cs="Arial"/>
          <w:szCs w:val="24"/>
        </w:rPr>
      </w:pPr>
      <w:r>
        <w:rPr>
          <w:rFonts w:cs="Arial"/>
          <w:szCs w:val="24"/>
        </w:rPr>
        <w:t xml:space="preserve">Desafortunadamente se ha vuelto un lugar común encontrar que en la gestión de estos procesos contractuales, desde el Estado, priman los intereses políticos de unos pocos, buscando beneficiar sus intereses personales o a alguna empresa que le haya financiado su campaña política o que le ofrezca dádivas para que le sea otorgado el contrato en detrimento de otros proponentes y de la calidad de los bienes o servicios que se ofrezcan, </w:t>
      </w:r>
      <w:r w:rsidRPr="007D795E">
        <w:rPr>
          <w:rFonts w:cs="Arial"/>
          <w:color w:val="000000" w:themeColor="text1"/>
        </w:rPr>
        <w:t>manipulan</w:t>
      </w:r>
      <w:r>
        <w:rPr>
          <w:rFonts w:cs="Arial"/>
          <w:color w:val="000000" w:themeColor="text1"/>
        </w:rPr>
        <w:t>do</w:t>
      </w:r>
      <w:r w:rsidRPr="007D795E">
        <w:rPr>
          <w:rFonts w:cs="Arial"/>
          <w:color w:val="000000" w:themeColor="text1"/>
        </w:rPr>
        <w:t xml:space="preserve"> la elaboración de pliegos de condiciones sobre participación, evaluación de propuestas, adjudicación y términos contractuales</w:t>
      </w:r>
      <w:r>
        <w:rPr>
          <w:rFonts w:cs="Arial"/>
          <w:color w:val="000000" w:themeColor="text1"/>
        </w:rPr>
        <w:t>.</w:t>
      </w:r>
      <w:r>
        <w:rPr>
          <w:rFonts w:cs="Arial"/>
          <w:color w:val="000000" w:themeColor="text1"/>
          <w:szCs w:val="24"/>
        </w:rPr>
        <w:t xml:space="preserve"> </w:t>
      </w:r>
      <w:r>
        <w:rPr>
          <w:rFonts w:cs="Arial"/>
          <w:szCs w:val="24"/>
        </w:rPr>
        <w:t>Restringiendo, con ello, a todas luces el cumplimiento en la función del Estado y la garantía de transparencia, eficacia y eficiencia en los procesos de contratación.</w:t>
      </w:r>
    </w:p>
    <w:p w:rsidR="004A7D70" w:rsidRDefault="004A7D70" w:rsidP="00B7249B">
      <w:pPr>
        <w:autoSpaceDE w:val="0"/>
        <w:autoSpaceDN w:val="0"/>
        <w:adjustRightInd w:val="0"/>
        <w:rPr>
          <w:rFonts w:cs="Arial"/>
          <w:szCs w:val="24"/>
        </w:rPr>
      </w:pPr>
    </w:p>
    <w:p w:rsidR="004A7D70" w:rsidRPr="004A7D70" w:rsidRDefault="004A7D70" w:rsidP="00B7249B">
      <w:pPr>
        <w:autoSpaceDE w:val="0"/>
        <w:autoSpaceDN w:val="0"/>
        <w:adjustRightInd w:val="0"/>
        <w:rPr>
          <w:rFonts w:cs="Arial"/>
          <w:b/>
          <w:color w:val="000000" w:themeColor="text1"/>
          <w:szCs w:val="24"/>
        </w:rPr>
      </w:pPr>
      <w:r w:rsidRPr="0050476F">
        <w:rPr>
          <w:rFonts w:cs="Arial"/>
          <w:b/>
          <w:szCs w:val="24"/>
          <w:highlight w:val="yellow"/>
        </w:rPr>
        <w:t>C</w:t>
      </w:r>
      <w:r w:rsidR="0050476F" w:rsidRPr="0050476F">
        <w:rPr>
          <w:rFonts w:cs="Arial"/>
          <w:b/>
          <w:szCs w:val="24"/>
          <w:highlight w:val="yellow"/>
        </w:rPr>
        <w:t xml:space="preserve"> </w:t>
      </w:r>
      <w:r w:rsidR="0050476F" w:rsidRPr="0050476F">
        <w:rPr>
          <w:rFonts w:ascii="Trebuchet MS" w:hAnsi="Trebuchet MS"/>
          <w:b/>
          <w:bCs/>
          <w:color w:val="595959"/>
          <w:sz w:val="20"/>
          <w:highlight w:val="yellow"/>
          <w:shd w:val="clear" w:color="auto" w:fill="ECECEC"/>
        </w:rPr>
        <w:t>ING_47129_14094</w:t>
      </w:r>
    </w:p>
    <w:p w:rsidR="00B7249B" w:rsidRDefault="00B7249B" w:rsidP="00B7249B">
      <w:pPr>
        <w:autoSpaceDE w:val="0"/>
        <w:autoSpaceDN w:val="0"/>
        <w:adjustRightInd w:val="0"/>
        <w:rPr>
          <w:rFonts w:cs="Arial"/>
          <w:szCs w:val="24"/>
        </w:rPr>
      </w:pPr>
    </w:p>
    <w:p w:rsidR="00B7249B" w:rsidRDefault="0050476F" w:rsidP="00B7249B">
      <w:r>
        <w:t>D</w:t>
      </w:r>
      <w:r w:rsidR="00B7249B">
        <w:t>esde la empresa privada que contrata con el Estado se encuentra</w:t>
      </w:r>
      <w:r>
        <w:t>,</w:t>
      </w:r>
      <w:r w:rsidR="00B7249B">
        <w:t xml:space="preserve"> también</w:t>
      </w:r>
      <w:r>
        <w:t>,</w:t>
      </w:r>
      <w:r w:rsidR="00B7249B">
        <w:t xml:space="preserve"> una desmesurada ambición por la obtención de beneficios financieros, aún a costa del bienestar de la sociedad y la inversión pública, donde Colombia cada año ve correr rio abajo miles de millones de pesos de su presupuesto, perdidos en malas contrataciones a favor de terceros, sobrecostos o mala calidad en los bienes y servicios que se proveen. </w:t>
      </w:r>
    </w:p>
    <w:p w:rsidR="00B7249B" w:rsidRDefault="00B7249B" w:rsidP="00B7249B"/>
    <w:p w:rsidR="00760305" w:rsidRDefault="00760305" w:rsidP="00B7249B"/>
    <w:p w:rsidR="00885F70" w:rsidRPr="004B6179" w:rsidRDefault="00760305" w:rsidP="00885F70">
      <w:pPr>
        <w:shd w:val="clear" w:color="auto" w:fill="ECECEC"/>
        <w:spacing w:line="390" w:lineRule="atLeast"/>
        <w:jc w:val="left"/>
        <w:rPr>
          <w:rFonts w:ascii="Trebuchet MS" w:hAnsi="Trebuchet MS"/>
          <w:b/>
          <w:bCs/>
          <w:color w:val="595959"/>
          <w:sz w:val="20"/>
          <w:lang w:val="es-MX" w:eastAsia="en-US"/>
        </w:rPr>
      </w:pPr>
      <w:r w:rsidRPr="00885F70">
        <w:rPr>
          <w:b/>
          <w:highlight w:val="yellow"/>
        </w:rPr>
        <w:t>D</w:t>
      </w:r>
      <w:r w:rsidR="00885F70" w:rsidRPr="00885F70">
        <w:rPr>
          <w:b/>
          <w:highlight w:val="yellow"/>
        </w:rPr>
        <w:t xml:space="preserve"> </w:t>
      </w:r>
      <w:r w:rsidR="00885F70" w:rsidRPr="004B6179">
        <w:rPr>
          <w:rFonts w:ascii="Trebuchet MS" w:hAnsi="Trebuchet MS"/>
          <w:b/>
          <w:bCs/>
          <w:color w:val="595959"/>
          <w:sz w:val="20"/>
          <w:highlight w:val="yellow"/>
          <w:lang w:val="es-MX" w:eastAsia="en-US"/>
        </w:rPr>
        <w:t>IST_17697_08700</w:t>
      </w:r>
    </w:p>
    <w:p w:rsidR="00760305" w:rsidRPr="00760305" w:rsidRDefault="00760305" w:rsidP="00B7249B">
      <w:pPr>
        <w:rPr>
          <w:b/>
        </w:rPr>
      </w:pPr>
    </w:p>
    <w:p w:rsidR="00B7249B" w:rsidRDefault="00B7249B" w:rsidP="00B7249B">
      <w:r>
        <w:t xml:space="preserve">Puede decirse que la corrupción le cuesta más a nuestro país que el conflicto interno, </w:t>
      </w:r>
      <w:r w:rsidRPr="00133A16">
        <w:t>lo cual se hace evidente a través del informe de la Contraloría General de la República, denominado “</w:t>
      </w:r>
      <w:r>
        <w:t>Grandes h</w:t>
      </w:r>
      <w:r w:rsidRPr="00133A16">
        <w:t>allazgos</w:t>
      </w:r>
      <w:r>
        <w:t>,</w:t>
      </w:r>
      <w:r w:rsidRPr="00133A16">
        <w:t xml:space="preserve"> septiembre de 2014</w:t>
      </w:r>
      <w:r>
        <w:t xml:space="preserve"> </w:t>
      </w:r>
      <w:r w:rsidRPr="00133A16">
        <w:t>-</w:t>
      </w:r>
      <w:r>
        <w:t xml:space="preserve"> </w:t>
      </w:r>
      <w:r w:rsidRPr="00133A16">
        <w:t>agosto de 2018”, presentado como producto de una investigación en esta materia y llevada a cabo por un equipo de la Contraloría</w:t>
      </w:r>
      <w:r>
        <w:t xml:space="preserve">, </w:t>
      </w:r>
      <w:r w:rsidRPr="00133A16">
        <w:t xml:space="preserve">que muestra solo una parte del inmenso trabajo hecho, el cual como frase introductoria revela:  “Así destapó la Contraloría General de la República los casos más sonoros de corrupción en Colombia. Del </w:t>
      </w:r>
      <w:r>
        <w:t>cartel de la h</w:t>
      </w:r>
      <w:r w:rsidRPr="00133A16">
        <w:t xml:space="preserve">emofilia a los estrafalarios sobrecostos de </w:t>
      </w:r>
      <w:proofErr w:type="spellStart"/>
      <w:r w:rsidRPr="00133A16">
        <w:t>Reficar</w:t>
      </w:r>
      <w:proofErr w:type="spellEnd"/>
      <w:r w:rsidRPr="00133A16">
        <w:t xml:space="preserve"> pasando por el saqueo al </w:t>
      </w:r>
      <w:r>
        <w:t>p</w:t>
      </w:r>
      <w:r w:rsidRPr="00133A16">
        <w:t xml:space="preserve">lan de </w:t>
      </w:r>
      <w:r>
        <w:t>a</w:t>
      </w:r>
      <w:r w:rsidRPr="00133A16">
        <w:t xml:space="preserve">limentación </w:t>
      </w:r>
      <w:r>
        <w:t>e</w:t>
      </w:r>
      <w:r w:rsidRPr="00133A16">
        <w:t>scolar”</w:t>
      </w:r>
      <w:r>
        <w:t xml:space="preserve">. </w:t>
      </w:r>
    </w:p>
    <w:p w:rsidR="002E212D" w:rsidRDefault="002E212D"/>
    <w:sectPr w:rsidR="002E2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A5C95"/>
    <w:multiLevelType w:val="hybridMultilevel"/>
    <w:tmpl w:val="7FD48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9B"/>
    <w:rsid w:val="00030B18"/>
    <w:rsid w:val="00125267"/>
    <w:rsid w:val="001F2382"/>
    <w:rsid w:val="002E212D"/>
    <w:rsid w:val="003A6755"/>
    <w:rsid w:val="004A7D70"/>
    <w:rsid w:val="004B6179"/>
    <w:rsid w:val="004F226D"/>
    <w:rsid w:val="0050476F"/>
    <w:rsid w:val="00617579"/>
    <w:rsid w:val="00696AB5"/>
    <w:rsid w:val="00760305"/>
    <w:rsid w:val="00885F70"/>
    <w:rsid w:val="00930C0F"/>
    <w:rsid w:val="00A07153"/>
    <w:rsid w:val="00B6502D"/>
    <w:rsid w:val="00B7249B"/>
    <w:rsid w:val="00BD0706"/>
    <w:rsid w:val="00E04A07"/>
    <w:rsid w:val="00E3393B"/>
    <w:rsid w:val="00F5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0BF1"/>
  <w15:chartTrackingRefBased/>
  <w15:docId w15:val="{89154BA7-9564-4D2E-8880-867ADD91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9B"/>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49B"/>
    <w:pPr>
      <w:ind w:left="720"/>
      <w:contextualSpacing/>
    </w:pPr>
  </w:style>
  <w:style w:type="table" w:styleId="Tablaconcuadrcula">
    <w:name w:val="Table Grid"/>
    <w:basedOn w:val="Tablanormal"/>
    <w:uiPriority w:val="59"/>
    <w:rsid w:val="00B7249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7249B"/>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B7249B"/>
    <w:rPr>
      <w:rFonts w:eastAsiaTheme="minorEastAsia"/>
      <w:sz w:val="24"/>
      <w:szCs w:val="24"/>
      <w:lang w:val="es-ES_tradnl" w:eastAsia="es-ES"/>
    </w:rPr>
  </w:style>
  <w:style w:type="paragraph" w:styleId="Textocomentario">
    <w:name w:val="annotation text"/>
    <w:basedOn w:val="Normal"/>
    <w:link w:val="TextocomentarioCar"/>
    <w:uiPriority w:val="99"/>
    <w:semiHidden/>
    <w:unhideWhenUsed/>
    <w:rsid w:val="00B7249B"/>
    <w:rPr>
      <w:sz w:val="20"/>
    </w:rPr>
  </w:style>
  <w:style w:type="character" w:customStyle="1" w:styleId="TextocomentarioCar">
    <w:name w:val="Texto comentario Car"/>
    <w:basedOn w:val="Fuentedeprrafopredeter"/>
    <w:link w:val="Textocomentario"/>
    <w:uiPriority w:val="99"/>
    <w:semiHidden/>
    <w:rsid w:val="00B7249B"/>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B7249B"/>
    <w:rPr>
      <w:sz w:val="16"/>
      <w:szCs w:val="16"/>
    </w:rPr>
  </w:style>
  <w:style w:type="paragraph" w:styleId="Textodeglobo">
    <w:name w:val="Balloon Text"/>
    <w:basedOn w:val="Normal"/>
    <w:link w:val="TextodegloboCar"/>
    <w:uiPriority w:val="99"/>
    <w:semiHidden/>
    <w:unhideWhenUsed/>
    <w:rsid w:val="00B724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49B"/>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11935">
      <w:bodyDiv w:val="1"/>
      <w:marLeft w:val="0"/>
      <w:marRight w:val="0"/>
      <w:marTop w:val="0"/>
      <w:marBottom w:val="0"/>
      <w:divBdr>
        <w:top w:val="none" w:sz="0" w:space="0" w:color="auto"/>
        <w:left w:val="none" w:sz="0" w:space="0" w:color="auto"/>
        <w:bottom w:val="none" w:sz="0" w:space="0" w:color="auto"/>
        <w:right w:val="none" w:sz="0" w:space="0" w:color="auto"/>
      </w:divBdr>
      <w:divsChild>
        <w:div w:id="330372332">
          <w:marLeft w:val="0"/>
          <w:marRight w:val="0"/>
          <w:marTop w:val="345"/>
          <w:marBottom w:val="0"/>
          <w:divBdr>
            <w:top w:val="none" w:sz="0" w:space="0" w:color="auto"/>
            <w:left w:val="none" w:sz="0" w:space="0" w:color="auto"/>
            <w:bottom w:val="none" w:sz="0" w:space="0" w:color="auto"/>
            <w:right w:val="none" w:sz="0" w:space="0" w:color="auto"/>
          </w:divBdr>
          <w:divsChild>
            <w:div w:id="764819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0854684">
      <w:bodyDiv w:val="1"/>
      <w:marLeft w:val="0"/>
      <w:marRight w:val="0"/>
      <w:marTop w:val="0"/>
      <w:marBottom w:val="0"/>
      <w:divBdr>
        <w:top w:val="none" w:sz="0" w:space="0" w:color="auto"/>
        <w:left w:val="none" w:sz="0" w:space="0" w:color="auto"/>
        <w:bottom w:val="none" w:sz="0" w:space="0" w:color="auto"/>
        <w:right w:val="none" w:sz="0" w:space="0" w:color="auto"/>
      </w:divBdr>
    </w:div>
    <w:div w:id="1565412840">
      <w:bodyDiv w:val="1"/>
      <w:marLeft w:val="0"/>
      <w:marRight w:val="0"/>
      <w:marTop w:val="0"/>
      <w:marBottom w:val="0"/>
      <w:divBdr>
        <w:top w:val="none" w:sz="0" w:space="0" w:color="auto"/>
        <w:left w:val="none" w:sz="0" w:space="0" w:color="auto"/>
        <w:bottom w:val="none" w:sz="0" w:space="0" w:color="auto"/>
        <w:right w:val="none" w:sz="0" w:space="0" w:color="auto"/>
      </w:divBdr>
    </w:div>
    <w:div w:id="1903321955">
      <w:bodyDiv w:val="1"/>
      <w:marLeft w:val="0"/>
      <w:marRight w:val="0"/>
      <w:marTop w:val="0"/>
      <w:marBottom w:val="0"/>
      <w:divBdr>
        <w:top w:val="none" w:sz="0" w:space="0" w:color="auto"/>
        <w:left w:val="none" w:sz="0" w:space="0" w:color="auto"/>
        <w:bottom w:val="none" w:sz="0" w:space="0" w:color="auto"/>
        <w:right w:val="none" w:sz="0" w:space="0" w:color="auto"/>
      </w:divBdr>
    </w:div>
    <w:div w:id="20833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9F401C-1B32-4C0D-BEB6-ACF458DFB394}" type="doc">
      <dgm:prSet loTypeId="urn:microsoft.com/office/officeart/2005/8/layout/hProcess7" loCatId="list" qsTypeId="urn:microsoft.com/office/officeart/2005/8/quickstyle/simple1" qsCatId="simple" csTypeId="urn:microsoft.com/office/officeart/2005/8/colors/colorful3" csCatId="colorful" phldr="1"/>
      <dgm:spPr/>
      <dgm:t>
        <a:bodyPr/>
        <a:lstStyle/>
        <a:p>
          <a:endParaRPr lang="es-ES"/>
        </a:p>
      </dgm:t>
    </dgm:pt>
    <dgm:pt modelId="{8ECB3620-7E4A-456C-BBF3-E0C0064CD9F0}">
      <dgm:prSet phldrT="[Texto]"/>
      <dgm:spPr/>
      <dgm:t>
        <a:bodyPr/>
        <a:lstStyle/>
        <a:p>
          <a:r>
            <a:rPr lang="es-ES"/>
            <a:t>Servidores públicos</a:t>
          </a:r>
        </a:p>
      </dgm:t>
    </dgm:pt>
    <dgm:pt modelId="{AA27C510-16D2-4771-B9AE-37BCDE3A36E6}" type="parTrans" cxnId="{9C01A76D-BFD4-4E9D-AD3A-F459846699D3}">
      <dgm:prSet/>
      <dgm:spPr/>
      <dgm:t>
        <a:bodyPr/>
        <a:lstStyle/>
        <a:p>
          <a:endParaRPr lang="es-ES"/>
        </a:p>
      </dgm:t>
    </dgm:pt>
    <dgm:pt modelId="{EB66726B-AAA9-4E04-AA0F-9A3E94EAD03A}" type="sibTrans" cxnId="{9C01A76D-BFD4-4E9D-AD3A-F459846699D3}">
      <dgm:prSet/>
      <dgm:spPr/>
      <dgm:t>
        <a:bodyPr/>
        <a:lstStyle/>
        <a:p>
          <a:endParaRPr lang="es-ES"/>
        </a:p>
      </dgm:t>
    </dgm:pt>
    <dgm:pt modelId="{D8F60983-D3A0-40F2-AEBE-C023CDFBBE81}">
      <dgm:prSet phldrT="[Texto]" custT="1"/>
      <dgm:spPr/>
      <dgm:t>
        <a:bodyPr/>
        <a:lstStyle/>
        <a:p>
          <a:pPr algn="l"/>
          <a:endParaRPr lang="es-CO" sz="1300"/>
        </a:p>
        <a:p>
          <a:pPr algn="just"/>
          <a:r>
            <a:rPr lang="es-CO" sz="1300"/>
            <a:t>Juegan un papel fundamental porque, a través de ellos y de las entidades que administran, se espera que den la correcta y debida aplicación de las normas en esta materia, buscando “la continua y eficiente prestación de los servicios públicos y efectividad de los derechos e intereses de los administrados que colaboran con ellas en la consecución de dichos fines.” Art. 3º, Ley 80 de 1993. </a:t>
          </a:r>
          <a:r>
            <a:rPr lang="es-CO" sz="1300" b="1"/>
            <a:t> </a:t>
          </a:r>
          <a:endParaRPr lang="es-ES" sz="1300"/>
        </a:p>
      </dgm:t>
    </dgm:pt>
    <dgm:pt modelId="{29486D97-41D5-46B6-A265-B78FCAD17213}" type="parTrans" cxnId="{F72B3482-C5E7-4BE0-BB51-FA6C44E31C3C}">
      <dgm:prSet/>
      <dgm:spPr/>
      <dgm:t>
        <a:bodyPr/>
        <a:lstStyle/>
        <a:p>
          <a:endParaRPr lang="es-ES"/>
        </a:p>
      </dgm:t>
    </dgm:pt>
    <dgm:pt modelId="{99B92AF5-DE40-483C-A415-8A740B038C94}" type="sibTrans" cxnId="{F72B3482-C5E7-4BE0-BB51-FA6C44E31C3C}">
      <dgm:prSet/>
      <dgm:spPr/>
      <dgm:t>
        <a:bodyPr/>
        <a:lstStyle/>
        <a:p>
          <a:endParaRPr lang="es-ES"/>
        </a:p>
      </dgm:t>
    </dgm:pt>
    <dgm:pt modelId="{9E2D8411-EFE5-48CD-881B-38701FF5C08E}">
      <dgm:prSet phldrT="[Texto]"/>
      <dgm:spPr/>
      <dgm:t>
        <a:bodyPr/>
        <a:lstStyle/>
        <a:p>
          <a:r>
            <a:rPr lang="es-ES"/>
            <a:t>Los particulares</a:t>
          </a:r>
        </a:p>
      </dgm:t>
    </dgm:pt>
    <dgm:pt modelId="{60F9DB90-0CF4-4F98-8309-DE94E30FFC58}" type="parTrans" cxnId="{EC454694-27AE-45F5-B86B-0C480053BAC9}">
      <dgm:prSet/>
      <dgm:spPr/>
      <dgm:t>
        <a:bodyPr/>
        <a:lstStyle/>
        <a:p>
          <a:endParaRPr lang="es-ES"/>
        </a:p>
      </dgm:t>
    </dgm:pt>
    <dgm:pt modelId="{1D453C1C-6006-4604-87A1-9B5840F55797}" type="sibTrans" cxnId="{EC454694-27AE-45F5-B86B-0C480053BAC9}">
      <dgm:prSet/>
      <dgm:spPr/>
      <dgm:t>
        <a:bodyPr/>
        <a:lstStyle/>
        <a:p>
          <a:endParaRPr lang="es-ES"/>
        </a:p>
      </dgm:t>
    </dgm:pt>
    <dgm:pt modelId="{6F7EC59A-6340-455E-BC8F-8ACDCB33DA1D}">
      <dgm:prSet phldrT="[Texto]" custT="1"/>
      <dgm:spPr/>
      <dgm:t>
        <a:bodyPr/>
        <a:lstStyle/>
        <a:p>
          <a:pPr algn="just"/>
          <a:endParaRPr lang="es-CO" sz="1300"/>
        </a:p>
        <a:p>
          <a:pPr algn="just"/>
          <a:r>
            <a:rPr lang="es-CO" sz="1300"/>
            <a:t>Que contratan con el Estado, “tendrán en cuenta al celebrar y ejecutar contratos con las entidades estatales que colaboran con ellas en el logro de sus fines y cumplen una función social que, como tal, implica obligaciones” (Inciso del artículo 3º, Ley 80 de 1993).</a:t>
          </a:r>
          <a:endParaRPr lang="es-ES" sz="1300"/>
        </a:p>
      </dgm:t>
    </dgm:pt>
    <dgm:pt modelId="{B64E77B9-8269-497F-9B1D-9212B9C6957A}" type="parTrans" cxnId="{B4AED532-686D-471D-91F1-E903706C6860}">
      <dgm:prSet/>
      <dgm:spPr/>
      <dgm:t>
        <a:bodyPr/>
        <a:lstStyle/>
        <a:p>
          <a:endParaRPr lang="es-ES"/>
        </a:p>
      </dgm:t>
    </dgm:pt>
    <dgm:pt modelId="{2FD7DDBC-5278-4C93-AF68-AFA835EFF25F}" type="sibTrans" cxnId="{B4AED532-686D-471D-91F1-E903706C6860}">
      <dgm:prSet/>
      <dgm:spPr/>
      <dgm:t>
        <a:bodyPr/>
        <a:lstStyle/>
        <a:p>
          <a:endParaRPr lang="es-ES"/>
        </a:p>
      </dgm:t>
    </dgm:pt>
    <dgm:pt modelId="{084F0916-E5AA-4774-B209-6ECBD68B44AE}" type="pres">
      <dgm:prSet presAssocID="{C89F401C-1B32-4C0D-BEB6-ACF458DFB394}" presName="Name0" presStyleCnt="0">
        <dgm:presLayoutVars>
          <dgm:dir/>
          <dgm:animLvl val="lvl"/>
          <dgm:resizeHandles val="exact"/>
        </dgm:presLayoutVars>
      </dgm:prSet>
      <dgm:spPr/>
      <dgm:t>
        <a:bodyPr/>
        <a:lstStyle/>
        <a:p>
          <a:endParaRPr lang="es-ES"/>
        </a:p>
      </dgm:t>
    </dgm:pt>
    <dgm:pt modelId="{2A9CD18B-9BB2-495A-AE5C-1B85B19DF5DF}" type="pres">
      <dgm:prSet presAssocID="{8ECB3620-7E4A-456C-BBF3-E0C0064CD9F0}" presName="compositeNode" presStyleCnt="0">
        <dgm:presLayoutVars>
          <dgm:bulletEnabled val="1"/>
        </dgm:presLayoutVars>
      </dgm:prSet>
      <dgm:spPr/>
    </dgm:pt>
    <dgm:pt modelId="{286DFB06-DF9D-4766-8632-FCFB79192E27}" type="pres">
      <dgm:prSet presAssocID="{8ECB3620-7E4A-456C-BBF3-E0C0064CD9F0}" presName="bgRect" presStyleLbl="node1" presStyleIdx="0" presStyleCnt="2" custScaleX="100711" custLinFactNeighborX="0" custLinFactNeighborY="19048"/>
      <dgm:spPr/>
      <dgm:t>
        <a:bodyPr/>
        <a:lstStyle/>
        <a:p>
          <a:endParaRPr lang="es-ES"/>
        </a:p>
      </dgm:t>
    </dgm:pt>
    <dgm:pt modelId="{D91633F5-DFA0-48D1-A7C0-731F4DF14E95}" type="pres">
      <dgm:prSet presAssocID="{8ECB3620-7E4A-456C-BBF3-E0C0064CD9F0}" presName="parentNode" presStyleLbl="node1" presStyleIdx="0" presStyleCnt="2">
        <dgm:presLayoutVars>
          <dgm:chMax val="0"/>
          <dgm:bulletEnabled val="1"/>
        </dgm:presLayoutVars>
      </dgm:prSet>
      <dgm:spPr/>
      <dgm:t>
        <a:bodyPr/>
        <a:lstStyle/>
        <a:p>
          <a:endParaRPr lang="es-ES"/>
        </a:p>
      </dgm:t>
    </dgm:pt>
    <dgm:pt modelId="{D491325D-D890-4A39-9E4B-C6A849DEB480}" type="pres">
      <dgm:prSet presAssocID="{8ECB3620-7E4A-456C-BBF3-E0C0064CD9F0}" presName="childNode" presStyleLbl="node1" presStyleIdx="0" presStyleCnt="2">
        <dgm:presLayoutVars>
          <dgm:bulletEnabled val="1"/>
        </dgm:presLayoutVars>
      </dgm:prSet>
      <dgm:spPr/>
      <dgm:t>
        <a:bodyPr/>
        <a:lstStyle/>
        <a:p>
          <a:endParaRPr lang="es-ES"/>
        </a:p>
      </dgm:t>
    </dgm:pt>
    <dgm:pt modelId="{0DB7B307-2816-443B-BF93-7210B793806D}" type="pres">
      <dgm:prSet presAssocID="{EB66726B-AAA9-4E04-AA0F-9A3E94EAD03A}" presName="hSp" presStyleCnt="0"/>
      <dgm:spPr/>
    </dgm:pt>
    <dgm:pt modelId="{2CE519A3-B43A-4413-B365-A213F8C19216}" type="pres">
      <dgm:prSet presAssocID="{EB66726B-AAA9-4E04-AA0F-9A3E94EAD03A}" presName="vProcSp" presStyleCnt="0"/>
      <dgm:spPr/>
    </dgm:pt>
    <dgm:pt modelId="{86847FF1-E3B8-4C96-8CB3-0C9D1F836E43}" type="pres">
      <dgm:prSet presAssocID="{EB66726B-AAA9-4E04-AA0F-9A3E94EAD03A}" presName="vSp1" presStyleCnt="0"/>
      <dgm:spPr/>
    </dgm:pt>
    <dgm:pt modelId="{AEDBDC10-C7A5-4447-90AE-11532801D407}" type="pres">
      <dgm:prSet presAssocID="{EB66726B-AAA9-4E04-AA0F-9A3E94EAD03A}" presName="simulatedConn" presStyleLbl="solidFgAcc1" presStyleIdx="0" presStyleCnt="1"/>
      <dgm:spPr/>
    </dgm:pt>
    <dgm:pt modelId="{266191C5-120A-4B2D-BCA7-5A2CDFA9838F}" type="pres">
      <dgm:prSet presAssocID="{EB66726B-AAA9-4E04-AA0F-9A3E94EAD03A}" presName="vSp2" presStyleCnt="0"/>
      <dgm:spPr/>
    </dgm:pt>
    <dgm:pt modelId="{B54DF223-3A07-49B6-B7DB-78506F979A80}" type="pres">
      <dgm:prSet presAssocID="{EB66726B-AAA9-4E04-AA0F-9A3E94EAD03A}" presName="sibTrans" presStyleCnt="0"/>
      <dgm:spPr/>
    </dgm:pt>
    <dgm:pt modelId="{81D8AF24-A8D4-4044-A5BA-398DFFF35B1C}" type="pres">
      <dgm:prSet presAssocID="{9E2D8411-EFE5-48CD-881B-38701FF5C08E}" presName="compositeNode" presStyleCnt="0">
        <dgm:presLayoutVars>
          <dgm:bulletEnabled val="1"/>
        </dgm:presLayoutVars>
      </dgm:prSet>
      <dgm:spPr/>
    </dgm:pt>
    <dgm:pt modelId="{BAAF8FCE-35C6-485E-BB58-829082768427}" type="pres">
      <dgm:prSet presAssocID="{9E2D8411-EFE5-48CD-881B-38701FF5C08E}" presName="bgRect" presStyleLbl="node1" presStyleIdx="1" presStyleCnt="2"/>
      <dgm:spPr/>
      <dgm:t>
        <a:bodyPr/>
        <a:lstStyle/>
        <a:p>
          <a:endParaRPr lang="es-ES"/>
        </a:p>
      </dgm:t>
    </dgm:pt>
    <dgm:pt modelId="{1F1C7AD2-369B-46FF-B9CD-401BBE8DF9A4}" type="pres">
      <dgm:prSet presAssocID="{9E2D8411-EFE5-48CD-881B-38701FF5C08E}" presName="parentNode" presStyleLbl="node1" presStyleIdx="1" presStyleCnt="2">
        <dgm:presLayoutVars>
          <dgm:chMax val="0"/>
          <dgm:bulletEnabled val="1"/>
        </dgm:presLayoutVars>
      </dgm:prSet>
      <dgm:spPr/>
      <dgm:t>
        <a:bodyPr/>
        <a:lstStyle/>
        <a:p>
          <a:endParaRPr lang="es-ES"/>
        </a:p>
      </dgm:t>
    </dgm:pt>
    <dgm:pt modelId="{01886DF3-97CE-4854-B66F-860F9849A9D3}" type="pres">
      <dgm:prSet presAssocID="{9E2D8411-EFE5-48CD-881B-38701FF5C08E}" presName="childNode" presStyleLbl="node1" presStyleIdx="1" presStyleCnt="2">
        <dgm:presLayoutVars>
          <dgm:bulletEnabled val="1"/>
        </dgm:presLayoutVars>
      </dgm:prSet>
      <dgm:spPr/>
      <dgm:t>
        <a:bodyPr/>
        <a:lstStyle/>
        <a:p>
          <a:endParaRPr lang="es-ES"/>
        </a:p>
      </dgm:t>
    </dgm:pt>
  </dgm:ptLst>
  <dgm:cxnLst>
    <dgm:cxn modelId="{BBA3BD16-B1EE-4094-9329-130C6D9E744E}" type="presOf" srcId="{8ECB3620-7E4A-456C-BBF3-E0C0064CD9F0}" destId="{D91633F5-DFA0-48D1-A7C0-731F4DF14E95}" srcOrd="1" destOrd="0" presId="urn:microsoft.com/office/officeart/2005/8/layout/hProcess7"/>
    <dgm:cxn modelId="{502C807D-29EE-4BC8-9C88-F6CB1F7C4AA3}" type="presOf" srcId="{9E2D8411-EFE5-48CD-881B-38701FF5C08E}" destId="{1F1C7AD2-369B-46FF-B9CD-401BBE8DF9A4}" srcOrd="1" destOrd="0" presId="urn:microsoft.com/office/officeart/2005/8/layout/hProcess7"/>
    <dgm:cxn modelId="{2328DAE3-FFBE-4437-87D4-33AA54C5C0F2}" type="presOf" srcId="{9E2D8411-EFE5-48CD-881B-38701FF5C08E}" destId="{BAAF8FCE-35C6-485E-BB58-829082768427}" srcOrd="0" destOrd="0" presId="urn:microsoft.com/office/officeart/2005/8/layout/hProcess7"/>
    <dgm:cxn modelId="{AC8CF21C-6CDC-490F-93B6-B6736E940E2C}" type="presOf" srcId="{6F7EC59A-6340-455E-BC8F-8ACDCB33DA1D}" destId="{01886DF3-97CE-4854-B66F-860F9849A9D3}" srcOrd="0" destOrd="0" presId="urn:microsoft.com/office/officeart/2005/8/layout/hProcess7"/>
    <dgm:cxn modelId="{F72B3482-C5E7-4BE0-BB51-FA6C44E31C3C}" srcId="{8ECB3620-7E4A-456C-BBF3-E0C0064CD9F0}" destId="{D8F60983-D3A0-40F2-AEBE-C023CDFBBE81}" srcOrd="0" destOrd="0" parTransId="{29486D97-41D5-46B6-A265-B78FCAD17213}" sibTransId="{99B92AF5-DE40-483C-A415-8A740B038C94}"/>
    <dgm:cxn modelId="{EC454694-27AE-45F5-B86B-0C480053BAC9}" srcId="{C89F401C-1B32-4C0D-BEB6-ACF458DFB394}" destId="{9E2D8411-EFE5-48CD-881B-38701FF5C08E}" srcOrd="1" destOrd="0" parTransId="{60F9DB90-0CF4-4F98-8309-DE94E30FFC58}" sibTransId="{1D453C1C-6006-4604-87A1-9B5840F55797}"/>
    <dgm:cxn modelId="{76F0C0B7-046E-401B-A081-013DA5D665AD}" type="presOf" srcId="{D8F60983-D3A0-40F2-AEBE-C023CDFBBE81}" destId="{D491325D-D890-4A39-9E4B-C6A849DEB480}" srcOrd="0" destOrd="0" presId="urn:microsoft.com/office/officeart/2005/8/layout/hProcess7"/>
    <dgm:cxn modelId="{9C01A76D-BFD4-4E9D-AD3A-F459846699D3}" srcId="{C89F401C-1B32-4C0D-BEB6-ACF458DFB394}" destId="{8ECB3620-7E4A-456C-BBF3-E0C0064CD9F0}" srcOrd="0" destOrd="0" parTransId="{AA27C510-16D2-4771-B9AE-37BCDE3A36E6}" sibTransId="{EB66726B-AAA9-4E04-AA0F-9A3E94EAD03A}"/>
    <dgm:cxn modelId="{6BD3B0B9-38C8-4A4E-9C87-1A36997A7AEA}" type="presOf" srcId="{8ECB3620-7E4A-456C-BBF3-E0C0064CD9F0}" destId="{286DFB06-DF9D-4766-8632-FCFB79192E27}" srcOrd="0" destOrd="0" presId="urn:microsoft.com/office/officeart/2005/8/layout/hProcess7"/>
    <dgm:cxn modelId="{7532ED59-17C4-4E45-834F-12EBEBDF2422}" type="presOf" srcId="{C89F401C-1B32-4C0D-BEB6-ACF458DFB394}" destId="{084F0916-E5AA-4774-B209-6ECBD68B44AE}" srcOrd="0" destOrd="0" presId="urn:microsoft.com/office/officeart/2005/8/layout/hProcess7"/>
    <dgm:cxn modelId="{B4AED532-686D-471D-91F1-E903706C6860}" srcId="{9E2D8411-EFE5-48CD-881B-38701FF5C08E}" destId="{6F7EC59A-6340-455E-BC8F-8ACDCB33DA1D}" srcOrd="0" destOrd="0" parTransId="{B64E77B9-8269-497F-9B1D-9212B9C6957A}" sibTransId="{2FD7DDBC-5278-4C93-AF68-AFA835EFF25F}"/>
    <dgm:cxn modelId="{39F872A1-7AF7-424F-B3D9-B0D8CD657D50}" type="presParOf" srcId="{084F0916-E5AA-4774-B209-6ECBD68B44AE}" destId="{2A9CD18B-9BB2-495A-AE5C-1B85B19DF5DF}" srcOrd="0" destOrd="0" presId="urn:microsoft.com/office/officeart/2005/8/layout/hProcess7"/>
    <dgm:cxn modelId="{C002EFB8-84E6-45F3-89EC-74F4159C56F7}" type="presParOf" srcId="{2A9CD18B-9BB2-495A-AE5C-1B85B19DF5DF}" destId="{286DFB06-DF9D-4766-8632-FCFB79192E27}" srcOrd="0" destOrd="0" presId="urn:microsoft.com/office/officeart/2005/8/layout/hProcess7"/>
    <dgm:cxn modelId="{CC30982F-AE0A-4484-B397-A68D1A28F847}" type="presParOf" srcId="{2A9CD18B-9BB2-495A-AE5C-1B85B19DF5DF}" destId="{D91633F5-DFA0-48D1-A7C0-731F4DF14E95}" srcOrd="1" destOrd="0" presId="urn:microsoft.com/office/officeart/2005/8/layout/hProcess7"/>
    <dgm:cxn modelId="{7D11B435-E63B-4F94-A52E-A420B6EAE507}" type="presParOf" srcId="{2A9CD18B-9BB2-495A-AE5C-1B85B19DF5DF}" destId="{D491325D-D890-4A39-9E4B-C6A849DEB480}" srcOrd="2" destOrd="0" presId="urn:microsoft.com/office/officeart/2005/8/layout/hProcess7"/>
    <dgm:cxn modelId="{79B29DCB-D665-43A2-BBAB-463626BC7E06}" type="presParOf" srcId="{084F0916-E5AA-4774-B209-6ECBD68B44AE}" destId="{0DB7B307-2816-443B-BF93-7210B793806D}" srcOrd="1" destOrd="0" presId="urn:microsoft.com/office/officeart/2005/8/layout/hProcess7"/>
    <dgm:cxn modelId="{2C363ADC-9F83-4EAA-81ED-1BAEF6E69AF7}" type="presParOf" srcId="{084F0916-E5AA-4774-B209-6ECBD68B44AE}" destId="{2CE519A3-B43A-4413-B365-A213F8C19216}" srcOrd="2" destOrd="0" presId="urn:microsoft.com/office/officeart/2005/8/layout/hProcess7"/>
    <dgm:cxn modelId="{A9790DA6-CBDA-4A43-B432-C0CA7A6A915D}" type="presParOf" srcId="{2CE519A3-B43A-4413-B365-A213F8C19216}" destId="{86847FF1-E3B8-4C96-8CB3-0C9D1F836E43}" srcOrd="0" destOrd="0" presId="urn:microsoft.com/office/officeart/2005/8/layout/hProcess7"/>
    <dgm:cxn modelId="{DC50BD40-47CA-4E46-B835-1E52A5DFDFE8}" type="presParOf" srcId="{2CE519A3-B43A-4413-B365-A213F8C19216}" destId="{AEDBDC10-C7A5-4447-90AE-11532801D407}" srcOrd="1" destOrd="0" presId="urn:microsoft.com/office/officeart/2005/8/layout/hProcess7"/>
    <dgm:cxn modelId="{17187302-4F50-4F94-81DD-2B27BB050F26}" type="presParOf" srcId="{2CE519A3-B43A-4413-B365-A213F8C19216}" destId="{266191C5-120A-4B2D-BCA7-5A2CDFA9838F}" srcOrd="2" destOrd="0" presId="urn:microsoft.com/office/officeart/2005/8/layout/hProcess7"/>
    <dgm:cxn modelId="{7AA4C97E-D35A-48A7-AE99-66851273B013}" type="presParOf" srcId="{084F0916-E5AA-4774-B209-6ECBD68B44AE}" destId="{B54DF223-3A07-49B6-B7DB-78506F979A80}" srcOrd="3" destOrd="0" presId="urn:microsoft.com/office/officeart/2005/8/layout/hProcess7"/>
    <dgm:cxn modelId="{4A2B9263-66C3-47F9-8AB4-278A1A6A08F3}" type="presParOf" srcId="{084F0916-E5AA-4774-B209-6ECBD68B44AE}" destId="{81D8AF24-A8D4-4044-A5BA-398DFFF35B1C}" srcOrd="4" destOrd="0" presId="urn:microsoft.com/office/officeart/2005/8/layout/hProcess7"/>
    <dgm:cxn modelId="{1582F2C9-21B0-4833-87B2-75AB878730D2}" type="presParOf" srcId="{81D8AF24-A8D4-4044-A5BA-398DFFF35B1C}" destId="{BAAF8FCE-35C6-485E-BB58-829082768427}" srcOrd="0" destOrd="0" presId="urn:microsoft.com/office/officeart/2005/8/layout/hProcess7"/>
    <dgm:cxn modelId="{320D1621-D845-4586-8BBC-9D17F65F0985}" type="presParOf" srcId="{81D8AF24-A8D4-4044-A5BA-398DFFF35B1C}" destId="{1F1C7AD2-369B-46FF-B9CD-401BBE8DF9A4}" srcOrd="1" destOrd="0" presId="urn:microsoft.com/office/officeart/2005/8/layout/hProcess7"/>
    <dgm:cxn modelId="{07A6340C-3932-4F6B-9126-10D556F47F94}" type="presParOf" srcId="{81D8AF24-A8D4-4044-A5BA-398DFFF35B1C}" destId="{01886DF3-97CE-4854-B66F-860F9849A9D3}" srcOrd="2" destOrd="0" presId="urn:microsoft.com/office/officeart/2005/8/layout/hProcess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6DFB06-DF9D-4766-8632-FCFB79192E27}">
      <dsp:nvSpPr>
        <dsp:cNvPr id="0" name=""/>
        <dsp:cNvSpPr/>
      </dsp:nvSpPr>
      <dsp:spPr>
        <a:xfrm>
          <a:off x="2418" y="0"/>
          <a:ext cx="2703349" cy="3200400"/>
        </a:xfrm>
        <a:prstGeom prst="roundRect">
          <a:avLst>
            <a:gd name="adj" fmla="val 5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lvl="0" algn="r" defTabSz="1111250">
            <a:lnSpc>
              <a:spcPct val="90000"/>
            </a:lnSpc>
            <a:spcBef>
              <a:spcPct val="0"/>
            </a:spcBef>
            <a:spcAft>
              <a:spcPct val="35000"/>
            </a:spcAft>
          </a:pPr>
          <a:r>
            <a:rPr lang="es-ES" sz="2500" kern="1200"/>
            <a:t>Servidores públicos</a:t>
          </a:r>
        </a:p>
      </dsp:txBody>
      <dsp:txXfrm rot="16200000">
        <a:off x="-1039410" y="1041829"/>
        <a:ext cx="2624328" cy="540669"/>
      </dsp:txXfrm>
    </dsp:sp>
    <dsp:sp modelId="{D491325D-D890-4A39-9E4B-C6A849DEB480}">
      <dsp:nvSpPr>
        <dsp:cNvPr id="0" name=""/>
        <dsp:cNvSpPr/>
      </dsp:nvSpPr>
      <dsp:spPr>
        <a:xfrm>
          <a:off x="541704" y="0"/>
          <a:ext cx="2013995" cy="32004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lvl="0" algn="l" defTabSz="577850">
            <a:lnSpc>
              <a:spcPct val="90000"/>
            </a:lnSpc>
            <a:spcBef>
              <a:spcPct val="0"/>
            </a:spcBef>
            <a:spcAft>
              <a:spcPct val="35000"/>
            </a:spcAft>
          </a:pPr>
          <a:endParaRPr lang="es-CO" sz="1300" kern="1200"/>
        </a:p>
        <a:p>
          <a:pPr lvl="0" algn="just" defTabSz="577850">
            <a:lnSpc>
              <a:spcPct val="90000"/>
            </a:lnSpc>
            <a:spcBef>
              <a:spcPct val="0"/>
            </a:spcBef>
            <a:spcAft>
              <a:spcPct val="35000"/>
            </a:spcAft>
          </a:pPr>
          <a:r>
            <a:rPr lang="es-CO" sz="1300" kern="1200"/>
            <a:t>Juegan un papel fundamental porque, a través de ellos y de las entidades que administran, se espera que den la correcta y debida aplicación de las normas en esta materia, buscando “la continua y eficiente prestación de los servicios públicos y efectividad de los derechos e intereses de los administrados que colaboran con ellas en la consecución de dichos fines.” Art. 3º, Ley 80 de 1993. </a:t>
          </a:r>
          <a:r>
            <a:rPr lang="es-CO" sz="1300" b="1" kern="1200"/>
            <a:t> </a:t>
          </a:r>
          <a:endParaRPr lang="es-ES" sz="1300" kern="1200"/>
        </a:p>
      </dsp:txBody>
      <dsp:txXfrm>
        <a:off x="541704" y="0"/>
        <a:ext cx="2013995" cy="3200400"/>
      </dsp:txXfrm>
    </dsp:sp>
    <dsp:sp modelId="{BAAF8FCE-35C6-485E-BB58-829082768427}">
      <dsp:nvSpPr>
        <dsp:cNvPr id="0" name=""/>
        <dsp:cNvSpPr/>
      </dsp:nvSpPr>
      <dsp:spPr>
        <a:xfrm>
          <a:off x="2799717" y="0"/>
          <a:ext cx="2684264" cy="3200400"/>
        </a:xfrm>
        <a:prstGeom prst="roundRect">
          <a:avLst>
            <a:gd name="adj" fmla="val 5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85725" rIns="111125" bIns="0" numCol="1" spcCol="1270" anchor="t" anchorCtr="0">
          <a:noAutofit/>
        </a:bodyPr>
        <a:lstStyle/>
        <a:p>
          <a:pPr lvl="0" algn="r" defTabSz="1111250">
            <a:lnSpc>
              <a:spcPct val="90000"/>
            </a:lnSpc>
            <a:spcBef>
              <a:spcPct val="0"/>
            </a:spcBef>
            <a:spcAft>
              <a:spcPct val="35000"/>
            </a:spcAft>
          </a:pPr>
          <a:r>
            <a:rPr lang="es-ES" sz="2500" kern="1200"/>
            <a:t>Los particulares</a:t>
          </a:r>
        </a:p>
      </dsp:txBody>
      <dsp:txXfrm rot="16200000">
        <a:off x="1755979" y="1043737"/>
        <a:ext cx="2624328" cy="536852"/>
      </dsp:txXfrm>
    </dsp:sp>
    <dsp:sp modelId="{AEDBDC10-C7A5-4447-90AE-11532801D407}">
      <dsp:nvSpPr>
        <dsp:cNvPr id="0" name=""/>
        <dsp:cNvSpPr/>
      </dsp:nvSpPr>
      <dsp:spPr>
        <a:xfrm rot="5400000">
          <a:off x="2578064" y="2541210"/>
          <a:ext cx="470148" cy="402639"/>
        </a:xfrm>
        <a:prstGeom prst="flowChartExtra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886DF3-97CE-4854-B66F-860F9849A9D3}">
      <dsp:nvSpPr>
        <dsp:cNvPr id="0" name=""/>
        <dsp:cNvSpPr/>
      </dsp:nvSpPr>
      <dsp:spPr>
        <a:xfrm>
          <a:off x="3336569" y="0"/>
          <a:ext cx="1999776" cy="32004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lvl="0" algn="just" defTabSz="577850">
            <a:lnSpc>
              <a:spcPct val="90000"/>
            </a:lnSpc>
            <a:spcBef>
              <a:spcPct val="0"/>
            </a:spcBef>
            <a:spcAft>
              <a:spcPct val="35000"/>
            </a:spcAft>
          </a:pPr>
          <a:endParaRPr lang="es-CO" sz="1300" kern="1200"/>
        </a:p>
        <a:p>
          <a:pPr lvl="0" algn="just" defTabSz="577850">
            <a:lnSpc>
              <a:spcPct val="90000"/>
            </a:lnSpc>
            <a:spcBef>
              <a:spcPct val="0"/>
            </a:spcBef>
            <a:spcAft>
              <a:spcPct val="35000"/>
            </a:spcAft>
          </a:pPr>
          <a:r>
            <a:rPr lang="es-CO" sz="1300" kern="1200"/>
            <a:t>Que contratan con el Estado, “tendrán en cuenta al celebrar y ejecutar contratos con las entidades estatales que colaboran con ellas en el logro de sus fines y cumplen una función social que, como tal, implica obligaciones” (Inciso del artículo 3º, Ley 80 de 1993).</a:t>
          </a:r>
          <a:endParaRPr lang="es-ES" sz="1300" kern="1200"/>
        </a:p>
      </dsp:txBody>
      <dsp:txXfrm>
        <a:off x="3336569" y="0"/>
        <a:ext cx="1999776" cy="32004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21</cp:revision>
  <dcterms:created xsi:type="dcterms:W3CDTF">2020-03-26T06:02:00Z</dcterms:created>
  <dcterms:modified xsi:type="dcterms:W3CDTF">2020-09-22T04:11:00Z</dcterms:modified>
</cp:coreProperties>
</file>