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5A" w:rsidRPr="00357F5A" w:rsidRDefault="00357F5A" w:rsidP="00357F5A">
      <w:pPr>
        <w:tabs>
          <w:tab w:val="left" w:pos="6990"/>
        </w:tabs>
        <w:spacing w:line="160" w:lineRule="atLeast"/>
        <w:jc w:val="center"/>
        <w:rPr>
          <w:rFonts w:cs="Arial"/>
          <w:b/>
          <w:szCs w:val="24"/>
        </w:rPr>
      </w:pPr>
      <w:r w:rsidRPr="00357F5A">
        <w:rPr>
          <w:rFonts w:cs="Arial"/>
          <w:b/>
          <w:szCs w:val="24"/>
        </w:rPr>
        <w:t>Órganos de control</w:t>
      </w: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</w:rPr>
      </w:pPr>
      <w:r w:rsidRPr="00357F5A">
        <w:rPr>
          <w:rFonts w:cs="Arial"/>
          <w:b/>
          <w:szCs w:val="24"/>
        </w:rPr>
        <w:t>Instrucción:</w:t>
      </w:r>
      <w:r w:rsidRPr="00357F5A">
        <w:rPr>
          <w:rFonts w:cs="Arial"/>
          <w:szCs w:val="24"/>
        </w:rPr>
        <w:t xml:space="preserve"> realizar recurso </w:t>
      </w:r>
      <w:r w:rsidR="00681C13">
        <w:rPr>
          <w:rFonts w:cs="Arial"/>
          <w:color w:val="FF0000"/>
          <w:szCs w:val="24"/>
        </w:rPr>
        <w:t>HTML/</w:t>
      </w:r>
      <w:r w:rsidRPr="00681C13">
        <w:rPr>
          <w:rFonts w:cs="Arial"/>
          <w:color w:val="FF0000"/>
          <w:szCs w:val="24"/>
        </w:rPr>
        <w:t>Acordeón</w:t>
      </w:r>
      <w:r w:rsidRPr="00357F5A">
        <w:rPr>
          <w:rFonts w:cs="Arial"/>
          <w:szCs w:val="24"/>
        </w:rPr>
        <w:t xml:space="preserve">, va de 3 secciones, cada una con imagen + texto. Va título + una introducción y la instrucción para el estudiante. </w:t>
      </w:r>
      <w:r w:rsidR="006220BB">
        <w:rPr>
          <w:rFonts w:cs="Arial"/>
          <w:szCs w:val="24"/>
        </w:rPr>
        <w:t>Al final se pone un ítem anexo</w:t>
      </w:r>
      <w:r w:rsidR="00AB1CF4">
        <w:rPr>
          <w:rFonts w:cs="Arial"/>
          <w:szCs w:val="24"/>
        </w:rPr>
        <w:t xml:space="preserve"> para redibujar gráfico del título 3. </w:t>
      </w:r>
      <w:r w:rsidR="00BB54F8">
        <w:rPr>
          <w:rFonts w:cs="Arial"/>
          <w:szCs w:val="24"/>
        </w:rPr>
        <w:t>Poner referencias en el gráfico.</w:t>
      </w: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357F5A" w:rsidRPr="00A5423B" w:rsidRDefault="00357F5A" w:rsidP="00357F5A">
      <w:pPr>
        <w:tabs>
          <w:tab w:val="left" w:pos="6990"/>
        </w:tabs>
        <w:spacing w:line="160" w:lineRule="atLeast"/>
        <w:rPr>
          <w:rFonts w:cs="Arial"/>
          <w:b/>
          <w:szCs w:val="24"/>
          <w:lang w:eastAsia="en-US"/>
        </w:rPr>
      </w:pPr>
      <w:r w:rsidRPr="00A5423B">
        <w:rPr>
          <w:rFonts w:cs="Arial"/>
          <w:b/>
          <w:szCs w:val="24"/>
          <w:lang w:eastAsia="en-US"/>
        </w:rPr>
        <w:t>Los órganos de control son los encargados de realizar la vigilancia y el control de las acciones públicas, mediante seguimiento al comportamiento de las personas que están al servicio de las instituciones, observando la manera en que desarrollan sus funciones y la forma cómo administran los recursos públicos que les han sido encomendados. No están adscritos ni vinculados a las ramas del Poder Público.</w:t>
      </w:r>
    </w:p>
    <w:p w:rsidR="00357F5A" w:rsidRPr="00357F5A" w:rsidRDefault="00357F5A" w:rsidP="00357F5A">
      <w:pPr>
        <w:tabs>
          <w:tab w:val="left" w:pos="6990"/>
        </w:tabs>
        <w:spacing w:line="160" w:lineRule="atLeast"/>
        <w:jc w:val="center"/>
        <w:rPr>
          <w:rFonts w:cs="Arial"/>
          <w:b/>
          <w:i/>
          <w:color w:val="4472C4" w:themeColor="accent5"/>
          <w:szCs w:val="24"/>
          <w:lang w:eastAsia="en-US"/>
        </w:rPr>
      </w:pPr>
    </w:p>
    <w:p w:rsidR="00357F5A" w:rsidRPr="00357F5A" w:rsidRDefault="00357F5A" w:rsidP="00357F5A">
      <w:pPr>
        <w:tabs>
          <w:tab w:val="left" w:pos="6990"/>
        </w:tabs>
        <w:spacing w:line="160" w:lineRule="atLeast"/>
        <w:jc w:val="center"/>
        <w:rPr>
          <w:rFonts w:cs="Arial"/>
          <w:b/>
          <w:i/>
          <w:color w:val="4472C4" w:themeColor="accent5"/>
          <w:szCs w:val="24"/>
          <w:lang w:eastAsia="en-US"/>
        </w:rPr>
      </w:pPr>
      <w:r w:rsidRPr="00357F5A">
        <w:rPr>
          <w:rFonts w:cs="Arial"/>
          <w:b/>
          <w:i/>
          <w:color w:val="4472C4" w:themeColor="accent5"/>
          <w:szCs w:val="24"/>
          <w:lang w:eastAsia="en-US"/>
        </w:rPr>
        <w:t>Para conocer</w:t>
      </w:r>
      <w:r w:rsidR="00401AEA">
        <w:rPr>
          <w:rFonts w:cs="Arial"/>
          <w:b/>
          <w:i/>
          <w:color w:val="4472C4" w:themeColor="accent5"/>
          <w:szCs w:val="24"/>
          <w:lang w:eastAsia="en-US"/>
        </w:rPr>
        <w:t xml:space="preserve"> </w:t>
      </w:r>
      <w:r w:rsidRPr="00357F5A">
        <w:rPr>
          <w:rFonts w:cs="Arial"/>
          <w:b/>
          <w:i/>
          <w:color w:val="4472C4" w:themeColor="accent5"/>
          <w:szCs w:val="24"/>
          <w:lang w:eastAsia="en-US"/>
        </w:rPr>
        <w:t>los</w:t>
      </w:r>
      <w:r w:rsidR="00401AEA">
        <w:rPr>
          <w:rFonts w:cs="Arial"/>
          <w:b/>
          <w:i/>
          <w:color w:val="4472C4" w:themeColor="accent5"/>
          <w:szCs w:val="24"/>
          <w:lang w:eastAsia="en-US"/>
        </w:rPr>
        <w:t xml:space="preserve"> órganos de control</w:t>
      </w:r>
      <w:r w:rsidRPr="00357F5A">
        <w:rPr>
          <w:rFonts w:cs="Arial"/>
          <w:b/>
          <w:i/>
          <w:color w:val="4472C4" w:themeColor="accent5"/>
          <w:szCs w:val="24"/>
          <w:lang w:eastAsia="en-US"/>
        </w:rPr>
        <w:t xml:space="preserve"> haga clic en cada título</w:t>
      </w:r>
      <w:r w:rsidR="00401AEA">
        <w:rPr>
          <w:rFonts w:cs="Arial"/>
          <w:b/>
          <w:i/>
          <w:color w:val="4472C4" w:themeColor="accent5"/>
          <w:szCs w:val="24"/>
          <w:lang w:eastAsia="en-US"/>
        </w:rPr>
        <w:t>:</w:t>
      </w:r>
    </w:p>
    <w:p w:rsidR="00357F5A" w:rsidRPr="00357F5A" w:rsidRDefault="00357F5A" w:rsidP="00357F5A">
      <w:pPr>
        <w:tabs>
          <w:tab w:val="left" w:pos="6990"/>
        </w:tabs>
        <w:spacing w:line="160" w:lineRule="atLeast"/>
        <w:jc w:val="center"/>
        <w:rPr>
          <w:rFonts w:cs="Arial"/>
          <w:b/>
          <w:i/>
          <w:color w:val="4472C4" w:themeColor="accent5"/>
          <w:szCs w:val="24"/>
          <w:lang w:eastAsia="en-US"/>
        </w:rPr>
      </w:pPr>
    </w:p>
    <w:p w:rsidR="00357F5A" w:rsidRDefault="00357F5A" w:rsidP="00357F5A">
      <w:pPr>
        <w:tabs>
          <w:tab w:val="left" w:pos="6990"/>
        </w:tabs>
        <w:spacing w:line="160" w:lineRule="atLeast"/>
        <w:jc w:val="left"/>
        <w:rPr>
          <w:rFonts w:cs="Arial"/>
          <w:b/>
          <w:szCs w:val="24"/>
          <w:lang w:eastAsia="en-US"/>
        </w:rPr>
      </w:pPr>
      <w:r w:rsidRPr="00357F5A">
        <w:rPr>
          <w:rFonts w:cs="Arial"/>
          <w:b/>
          <w:szCs w:val="24"/>
          <w:lang w:eastAsia="en-US"/>
        </w:rPr>
        <w:t xml:space="preserve">1. Ministerio Público </w:t>
      </w:r>
      <w:r w:rsidR="00154D10">
        <w:rPr>
          <w:rFonts w:cs="Arial"/>
          <w:b/>
          <w:szCs w:val="24"/>
          <w:lang w:eastAsia="en-US"/>
        </w:rPr>
        <w:t xml:space="preserve">- </w:t>
      </w:r>
      <w:r w:rsidRPr="00357F5A">
        <w:rPr>
          <w:rFonts w:cs="Arial"/>
          <w:b/>
          <w:szCs w:val="24"/>
          <w:lang w:eastAsia="en-US"/>
        </w:rPr>
        <w:t>Control Disciplinario</w:t>
      </w:r>
      <w:r w:rsidR="00CE5928">
        <w:rPr>
          <w:rFonts w:cs="Arial"/>
          <w:b/>
          <w:szCs w:val="24"/>
          <w:lang w:eastAsia="en-US"/>
        </w:rPr>
        <w:t xml:space="preserve"> </w:t>
      </w:r>
      <w:r w:rsidR="00CE5928" w:rsidRPr="00387679">
        <w:rPr>
          <w:rFonts w:cs="Arial"/>
          <w:b/>
          <w:szCs w:val="24"/>
          <w:highlight w:val="yellow"/>
          <w:lang w:eastAsia="en-US"/>
        </w:rPr>
        <w:t>(</w:t>
      </w:r>
      <w:hyperlink r:id="rId6" w:history="1">
        <w:r w:rsidR="00CE5928" w:rsidRPr="00387679">
          <w:rPr>
            <w:rStyle w:val="Hipervnculo"/>
            <w:rFonts w:cs="Arial"/>
            <w:b/>
            <w:szCs w:val="24"/>
            <w:highlight w:val="yellow"/>
            <w:lang w:eastAsia="en-US"/>
          </w:rPr>
          <w:t>https://bit.ly/3d99xQ1</w:t>
        </w:r>
      </w:hyperlink>
      <w:r w:rsidR="00CE5928" w:rsidRPr="00387679">
        <w:rPr>
          <w:rFonts w:cs="Arial"/>
          <w:b/>
          <w:szCs w:val="24"/>
          <w:highlight w:val="yellow"/>
          <w:lang w:eastAsia="en-US"/>
        </w:rPr>
        <w:t>)</w:t>
      </w:r>
      <w:r w:rsidR="00CE5928">
        <w:rPr>
          <w:rFonts w:cs="Arial"/>
          <w:b/>
          <w:szCs w:val="24"/>
          <w:lang w:eastAsia="en-US"/>
        </w:rPr>
        <w:t xml:space="preserve"> </w:t>
      </w:r>
    </w:p>
    <w:p w:rsidR="00357F5A" w:rsidRDefault="00357F5A" w:rsidP="00357F5A">
      <w:pPr>
        <w:tabs>
          <w:tab w:val="left" w:pos="6990"/>
        </w:tabs>
        <w:spacing w:line="160" w:lineRule="atLeast"/>
        <w:jc w:val="left"/>
        <w:rPr>
          <w:rFonts w:cs="Arial"/>
          <w:b/>
          <w:szCs w:val="24"/>
          <w:lang w:eastAsia="en-US"/>
        </w:rPr>
      </w:pPr>
    </w:p>
    <w:p w:rsidR="00357F5A" w:rsidRDefault="00357F5A" w:rsidP="00357F5A">
      <w:pPr>
        <w:rPr>
          <w:rFonts w:cs="Arial"/>
          <w:szCs w:val="24"/>
        </w:rPr>
      </w:pPr>
      <w:r w:rsidRPr="00357F5A">
        <w:rPr>
          <w:rFonts w:cs="Arial"/>
          <w:szCs w:val="24"/>
        </w:rPr>
        <w:t>El artículo 118 de la Constitución expresa que al Ministerio Público corresponde la guarda y promoción de los derechos humanos, la protección del interés público y la vigilancia de la conducta de quienes desempeñan funciones públicas. Será ejercido por:</w:t>
      </w:r>
    </w:p>
    <w:p w:rsidR="00357F5A" w:rsidRPr="00357F5A" w:rsidRDefault="00357F5A" w:rsidP="00357F5A">
      <w:pPr>
        <w:rPr>
          <w:rFonts w:cs="Arial"/>
          <w:b/>
          <w:szCs w:val="24"/>
        </w:rPr>
      </w:pPr>
    </w:p>
    <w:p w:rsidR="00357F5A" w:rsidRPr="00357F5A" w:rsidRDefault="00357F5A" w:rsidP="00357F5A">
      <w:pPr>
        <w:numPr>
          <w:ilvl w:val="0"/>
          <w:numId w:val="3"/>
        </w:numPr>
        <w:rPr>
          <w:rFonts w:cs="Arial"/>
          <w:b/>
          <w:szCs w:val="24"/>
        </w:rPr>
      </w:pPr>
      <w:r w:rsidRPr="00357F5A">
        <w:rPr>
          <w:rFonts w:cs="Arial"/>
          <w:szCs w:val="24"/>
        </w:rPr>
        <w:t>Procurador General.</w:t>
      </w:r>
    </w:p>
    <w:p w:rsidR="00357F5A" w:rsidRPr="00357F5A" w:rsidRDefault="00357F5A" w:rsidP="00357F5A">
      <w:pPr>
        <w:numPr>
          <w:ilvl w:val="0"/>
          <w:numId w:val="3"/>
        </w:numPr>
        <w:rPr>
          <w:rFonts w:cs="Arial"/>
          <w:b/>
          <w:szCs w:val="24"/>
        </w:rPr>
      </w:pPr>
      <w:r w:rsidRPr="00357F5A">
        <w:rPr>
          <w:rFonts w:cs="Arial"/>
          <w:szCs w:val="24"/>
        </w:rPr>
        <w:t>Defensor del pueblo.</w:t>
      </w:r>
    </w:p>
    <w:p w:rsidR="00357F5A" w:rsidRPr="00357F5A" w:rsidRDefault="00357F5A" w:rsidP="00357F5A">
      <w:pPr>
        <w:numPr>
          <w:ilvl w:val="0"/>
          <w:numId w:val="3"/>
        </w:numPr>
        <w:rPr>
          <w:rFonts w:cs="Arial"/>
          <w:b/>
          <w:szCs w:val="24"/>
        </w:rPr>
      </w:pPr>
      <w:r w:rsidRPr="00357F5A">
        <w:rPr>
          <w:rFonts w:cs="Arial"/>
          <w:szCs w:val="24"/>
        </w:rPr>
        <w:t>Procuradores delegados.</w:t>
      </w:r>
    </w:p>
    <w:p w:rsidR="00357F5A" w:rsidRPr="00357F5A" w:rsidRDefault="00357F5A" w:rsidP="00357F5A">
      <w:pPr>
        <w:pStyle w:val="Prrafodelista"/>
        <w:numPr>
          <w:ilvl w:val="0"/>
          <w:numId w:val="3"/>
        </w:numPr>
        <w:tabs>
          <w:tab w:val="left" w:pos="6990"/>
        </w:tabs>
        <w:spacing w:line="160" w:lineRule="atLeast"/>
        <w:jc w:val="left"/>
        <w:rPr>
          <w:rFonts w:cs="Arial"/>
          <w:b/>
          <w:szCs w:val="24"/>
          <w:lang w:eastAsia="en-US"/>
        </w:rPr>
      </w:pPr>
      <w:r w:rsidRPr="00357F5A">
        <w:rPr>
          <w:rFonts w:cs="Arial"/>
          <w:szCs w:val="24"/>
        </w:rPr>
        <w:t>Personeros municipales.</w:t>
      </w:r>
    </w:p>
    <w:p w:rsidR="00357F5A" w:rsidRDefault="00357F5A" w:rsidP="00357F5A">
      <w:pPr>
        <w:tabs>
          <w:tab w:val="left" w:pos="6990"/>
        </w:tabs>
        <w:spacing w:line="160" w:lineRule="atLeast"/>
        <w:jc w:val="left"/>
        <w:rPr>
          <w:rFonts w:cs="Arial"/>
          <w:b/>
          <w:szCs w:val="24"/>
          <w:lang w:eastAsia="en-US"/>
        </w:rPr>
      </w:pPr>
    </w:p>
    <w:p w:rsidR="00357F5A" w:rsidRPr="00357F5A" w:rsidRDefault="00357F5A" w:rsidP="00357F5A">
      <w:pPr>
        <w:tabs>
          <w:tab w:val="left" w:pos="6990"/>
        </w:tabs>
        <w:spacing w:line="160" w:lineRule="atLeast"/>
        <w:jc w:val="left"/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  <w:lang w:eastAsia="en-US"/>
        </w:rPr>
        <w:t>2. C</w:t>
      </w:r>
      <w:r w:rsidRPr="00357F5A">
        <w:rPr>
          <w:rFonts w:cs="Arial"/>
          <w:b/>
          <w:szCs w:val="24"/>
          <w:lang w:eastAsia="en-US"/>
        </w:rPr>
        <w:t>ontrol fiscal</w:t>
      </w:r>
      <w:r>
        <w:rPr>
          <w:rFonts w:cs="Arial"/>
          <w:b/>
          <w:szCs w:val="24"/>
          <w:lang w:eastAsia="en-US"/>
        </w:rPr>
        <w:t xml:space="preserve"> </w:t>
      </w:r>
      <w:r w:rsidR="005A768B" w:rsidRPr="008843C7">
        <w:rPr>
          <w:rFonts w:cs="Arial"/>
          <w:b/>
          <w:szCs w:val="24"/>
          <w:highlight w:val="yellow"/>
          <w:lang w:eastAsia="en-US"/>
        </w:rPr>
        <w:t>(</w:t>
      </w:r>
      <w:hyperlink r:id="rId7" w:history="1">
        <w:r w:rsidR="008843C7" w:rsidRPr="008843C7">
          <w:rPr>
            <w:rStyle w:val="Hipervnculo"/>
            <w:rFonts w:cs="Arial"/>
            <w:b/>
            <w:szCs w:val="24"/>
            <w:highlight w:val="yellow"/>
            <w:lang w:eastAsia="en-US"/>
          </w:rPr>
          <w:t>https://bit.ly/2U2KHKo</w:t>
        </w:r>
      </w:hyperlink>
      <w:r w:rsidR="008843C7" w:rsidRPr="008843C7">
        <w:rPr>
          <w:rFonts w:cs="Arial"/>
          <w:b/>
          <w:szCs w:val="24"/>
          <w:highlight w:val="yellow"/>
          <w:lang w:eastAsia="en-US"/>
        </w:rPr>
        <w:t>)</w:t>
      </w:r>
      <w:r w:rsidR="008843C7">
        <w:rPr>
          <w:rFonts w:cs="Arial"/>
          <w:b/>
          <w:szCs w:val="24"/>
          <w:lang w:eastAsia="en-US"/>
        </w:rPr>
        <w:t xml:space="preserve"> </w:t>
      </w:r>
    </w:p>
    <w:p w:rsid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  <w:lang w:eastAsia="en-US"/>
        </w:rPr>
      </w:pPr>
    </w:p>
    <w:p w:rsidR="00357F5A" w:rsidRPr="00357F5A" w:rsidRDefault="00357F5A" w:rsidP="00357F5A">
      <w:pPr>
        <w:rPr>
          <w:rFonts w:cs="Arial"/>
          <w:szCs w:val="24"/>
        </w:rPr>
      </w:pPr>
      <w:r w:rsidRPr="00357F5A">
        <w:rPr>
          <w:rFonts w:cs="Arial"/>
          <w:szCs w:val="24"/>
        </w:rPr>
        <w:t>Los artículos 117 y 119 de la Carta, consagran la existencia de la Contraloría General de la República como uno de los órganos de control, encargado de la vigilancia de la gestión fiscal y el control de resultados de la administración. Es una función pública (art. 267 C. P. C.) consistente en la guarda del manejo de los recursos por parte de la administración y de los particulares o entidades que manejen fondos o bienes de la nación. Dicho control fiscal será ejercido a través de:</w:t>
      </w:r>
    </w:p>
    <w:p w:rsidR="00357F5A" w:rsidRPr="00357F5A" w:rsidRDefault="00357F5A" w:rsidP="00357F5A">
      <w:pPr>
        <w:rPr>
          <w:rFonts w:cs="Arial"/>
          <w:szCs w:val="24"/>
        </w:rPr>
      </w:pPr>
    </w:p>
    <w:p w:rsidR="00357F5A" w:rsidRPr="00357F5A" w:rsidRDefault="00357F5A" w:rsidP="00357F5A">
      <w:pPr>
        <w:numPr>
          <w:ilvl w:val="0"/>
          <w:numId w:val="4"/>
        </w:numPr>
        <w:rPr>
          <w:rFonts w:cs="Arial"/>
          <w:szCs w:val="24"/>
        </w:rPr>
      </w:pPr>
      <w:r w:rsidRPr="00357F5A">
        <w:rPr>
          <w:rFonts w:cs="Arial"/>
          <w:szCs w:val="24"/>
        </w:rPr>
        <w:t>Contraloría General.</w:t>
      </w:r>
    </w:p>
    <w:p w:rsidR="00357F5A" w:rsidRPr="00357F5A" w:rsidRDefault="00357F5A" w:rsidP="00357F5A">
      <w:pPr>
        <w:numPr>
          <w:ilvl w:val="0"/>
          <w:numId w:val="4"/>
        </w:numPr>
        <w:rPr>
          <w:rFonts w:cs="Arial"/>
          <w:szCs w:val="24"/>
        </w:rPr>
      </w:pPr>
      <w:r w:rsidRPr="00357F5A">
        <w:rPr>
          <w:rFonts w:cs="Arial"/>
          <w:szCs w:val="24"/>
        </w:rPr>
        <w:t>Contralorías departamentales</w:t>
      </w:r>
    </w:p>
    <w:p w:rsidR="00357F5A" w:rsidRDefault="00357F5A" w:rsidP="00357F5A">
      <w:pPr>
        <w:pStyle w:val="Prrafodelista"/>
        <w:numPr>
          <w:ilvl w:val="0"/>
          <w:numId w:val="4"/>
        </w:numPr>
        <w:tabs>
          <w:tab w:val="left" w:pos="6990"/>
        </w:tabs>
        <w:spacing w:line="160" w:lineRule="atLeast"/>
        <w:rPr>
          <w:rFonts w:cs="Arial"/>
          <w:szCs w:val="24"/>
        </w:rPr>
      </w:pPr>
      <w:r w:rsidRPr="00357F5A">
        <w:rPr>
          <w:rFonts w:cs="Arial"/>
          <w:szCs w:val="24"/>
        </w:rPr>
        <w:t xml:space="preserve">Contralorías distritales y municipales. </w:t>
      </w:r>
      <w:sdt>
        <w:sdtPr>
          <w:id w:val="-677654020"/>
          <w:citation/>
        </w:sdtPr>
        <w:sdtEndPr/>
        <w:sdtContent>
          <w:r w:rsidRPr="00357F5A">
            <w:rPr>
              <w:rFonts w:cs="Arial"/>
              <w:szCs w:val="24"/>
            </w:rPr>
            <w:fldChar w:fldCharType="begin"/>
          </w:r>
          <w:r w:rsidR="005A768B">
            <w:rPr>
              <w:rFonts w:cs="Arial"/>
              <w:szCs w:val="24"/>
              <w:lang w:val="es-ES"/>
            </w:rPr>
            <w:instrText xml:space="preserve">CITATION Mad05 \p 295 \l 3082 </w:instrText>
          </w:r>
          <w:r w:rsidRPr="00357F5A">
            <w:rPr>
              <w:rFonts w:cs="Arial"/>
              <w:szCs w:val="24"/>
            </w:rPr>
            <w:fldChar w:fldCharType="separate"/>
          </w:r>
          <w:r w:rsidR="005A768B" w:rsidRPr="005A768B">
            <w:rPr>
              <w:rFonts w:cs="Arial"/>
              <w:noProof/>
              <w:szCs w:val="24"/>
              <w:lang w:val="es-ES"/>
            </w:rPr>
            <w:t>(Madrid, 2005, pág. 295)</w:t>
          </w:r>
          <w:r w:rsidRPr="00357F5A">
            <w:rPr>
              <w:rFonts w:cs="Arial"/>
              <w:szCs w:val="24"/>
            </w:rPr>
            <w:fldChar w:fldCharType="end"/>
          </w:r>
        </w:sdtContent>
      </w:sdt>
      <w:r w:rsidRPr="00357F5A">
        <w:rPr>
          <w:rFonts w:cs="Arial"/>
          <w:szCs w:val="24"/>
        </w:rPr>
        <w:t>.</w:t>
      </w:r>
    </w:p>
    <w:p w:rsid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b/>
          <w:szCs w:val="24"/>
        </w:rPr>
      </w:pPr>
      <w:r w:rsidRPr="00357F5A">
        <w:rPr>
          <w:rFonts w:cs="Arial"/>
          <w:b/>
          <w:szCs w:val="24"/>
        </w:rPr>
        <w:t>3. Estructura de los órganos de control</w:t>
      </w:r>
      <w:r w:rsidR="0090655F">
        <w:rPr>
          <w:rFonts w:cs="Arial"/>
          <w:b/>
          <w:szCs w:val="24"/>
        </w:rPr>
        <w:t xml:space="preserve"> </w:t>
      </w:r>
      <w:r w:rsidR="0090655F" w:rsidRPr="0090655F">
        <w:rPr>
          <w:rFonts w:cs="Arial"/>
          <w:b/>
          <w:szCs w:val="24"/>
          <w:highlight w:val="yellow"/>
        </w:rPr>
        <w:t>(</w:t>
      </w:r>
      <w:r w:rsidR="00B2393D">
        <w:rPr>
          <w:rFonts w:cs="Arial"/>
          <w:b/>
          <w:szCs w:val="24"/>
          <w:highlight w:val="yellow"/>
        </w:rPr>
        <w:t>Redibujar</w:t>
      </w:r>
      <w:bookmarkStart w:id="0" w:name="_GoBack"/>
      <w:bookmarkEnd w:id="0"/>
      <w:r w:rsidR="0090655F" w:rsidRPr="0090655F">
        <w:rPr>
          <w:rFonts w:cs="Arial"/>
          <w:b/>
          <w:szCs w:val="24"/>
          <w:highlight w:val="yellow"/>
        </w:rPr>
        <w:t xml:space="preserve"> el gráfico sin personajes)</w:t>
      </w:r>
    </w:p>
    <w:p w:rsid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A24744" w:rsidRPr="00357F5A" w:rsidRDefault="00A24744" w:rsidP="00357F5A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  <w:lang w:eastAsia="en-US"/>
        </w:rPr>
      </w:pP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  <w:lang w:eastAsia="en-US"/>
        </w:rPr>
      </w:pP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  <w:lang w:eastAsia="en-US"/>
        </w:rPr>
      </w:pPr>
    </w:p>
    <w:p w:rsidR="00357F5A" w:rsidRPr="00357F5A" w:rsidRDefault="00357F5A" w:rsidP="00A5423B">
      <w:pPr>
        <w:tabs>
          <w:tab w:val="left" w:pos="6990"/>
        </w:tabs>
        <w:spacing w:line="160" w:lineRule="atLeast"/>
        <w:jc w:val="center"/>
        <w:rPr>
          <w:rFonts w:cs="Arial"/>
          <w:szCs w:val="24"/>
          <w:lang w:eastAsia="en-US"/>
        </w:rPr>
      </w:pPr>
      <w:r w:rsidRPr="00357F5A">
        <w:rPr>
          <w:rFonts w:cs="Arial"/>
          <w:noProof/>
          <w:szCs w:val="24"/>
          <w:lang w:val="en-US" w:eastAsia="en-US"/>
        </w:rPr>
        <w:drawing>
          <wp:inline distT="0" distB="0" distL="0" distR="0" wp14:anchorId="48585AD3" wp14:editId="00A13AC1">
            <wp:extent cx="4198620" cy="2361546"/>
            <wp:effectExtent l="0" t="0" r="0" b="127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6576" cy="237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  <w:lang w:eastAsia="en-US"/>
        </w:rPr>
      </w:pPr>
    </w:p>
    <w:p w:rsidR="00BB54F8" w:rsidRPr="00A5423B" w:rsidRDefault="0069072B" w:rsidP="00A5423B">
      <w:pPr>
        <w:tabs>
          <w:tab w:val="left" w:pos="6990"/>
        </w:tabs>
        <w:spacing w:line="160" w:lineRule="atLeast"/>
        <w:jc w:val="center"/>
        <w:rPr>
          <w:rFonts w:cs="Arial"/>
          <w:sz w:val="20"/>
        </w:rPr>
      </w:pPr>
      <w:r w:rsidRPr="00A5423B">
        <w:rPr>
          <w:rFonts w:cs="Arial"/>
          <w:sz w:val="20"/>
        </w:rPr>
        <w:t>Gráfico e</w:t>
      </w:r>
      <w:r w:rsidR="00BB54F8" w:rsidRPr="00A5423B">
        <w:rPr>
          <w:rFonts w:cs="Arial"/>
          <w:sz w:val="20"/>
        </w:rPr>
        <w:t>laborado a partir de la Constitución Política de Colombia, Madrid, 2005 y</w:t>
      </w:r>
    </w:p>
    <w:p w:rsidR="00357F5A" w:rsidRPr="00A5423B" w:rsidRDefault="00BB54F8" w:rsidP="00A5423B">
      <w:pPr>
        <w:tabs>
          <w:tab w:val="left" w:pos="6990"/>
        </w:tabs>
        <w:spacing w:line="160" w:lineRule="atLeast"/>
        <w:jc w:val="center"/>
        <w:rPr>
          <w:rFonts w:cs="Arial"/>
          <w:sz w:val="20"/>
          <w:lang w:eastAsia="en-US"/>
        </w:rPr>
      </w:pPr>
      <w:r w:rsidRPr="00A5423B">
        <w:rPr>
          <w:rFonts w:cs="Arial"/>
          <w:sz w:val="20"/>
        </w:rPr>
        <w:t>Pachón, 2008.</w:t>
      </w: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2640FB" w:rsidRPr="00647406" w:rsidRDefault="002640FB" w:rsidP="00357F5A">
      <w:pPr>
        <w:tabs>
          <w:tab w:val="left" w:pos="3192"/>
        </w:tabs>
        <w:spacing w:line="160" w:lineRule="atLeast"/>
        <w:rPr>
          <w:rFonts w:cs="Arial"/>
          <w:b/>
          <w:szCs w:val="24"/>
        </w:rPr>
      </w:pPr>
      <w:r w:rsidRPr="00647406">
        <w:rPr>
          <w:rFonts w:cs="Arial"/>
          <w:b/>
          <w:szCs w:val="24"/>
        </w:rPr>
        <w:t>ANEXO</w:t>
      </w:r>
    </w:p>
    <w:p w:rsidR="002640FB" w:rsidRDefault="002640FB" w:rsidP="00357F5A">
      <w:pPr>
        <w:tabs>
          <w:tab w:val="left" w:pos="3192"/>
        </w:tabs>
        <w:spacing w:line="160" w:lineRule="atLeast"/>
        <w:rPr>
          <w:rFonts w:cs="Arial"/>
          <w:szCs w:val="24"/>
        </w:rPr>
      </w:pPr>
    </w:p>
    <w:p w:rsidR="003F681D" w:rsidRDefault="003F681D" w:rsidP="00357F5A">
      <w:pPr>
        <w:tabs>
          <w:tab w:val="left" w:pos="3192"/>
        </w:tabs>
        <w:spacing w:line="160" w:lineRule="atLeast"/>
      </w:pPr>
      <w:r>
        <w:t>Órganos de control</w:t>
      </w:r>
    </w:p>
    <w:p w:rsidR="003F681D" w:rsidRDefault="003F681D" w:rsidP="00357F5A">
      <w:pPr>
        <w:tabs>
          <w:tab w:val="left" w:pos="3192"/>
        </w:tabs>
        <w:spacing w:line="160" w:lineRule="atLeast"/>
      </w:pPr>
    </w:p>
    <w:p w:rsidR="00E5421F" w:rsidRDefault="00E5421F" w:rsidP="00357F5A">
      <w:pPr>
        <w:tabs>
          <w:tab w:val="left" w:pos="3192"/>
        </w:tabs>
        <w:spacing w:line="160" w:lineRule="atLeast"/>
      </w:pPr>
      <w:r>
        <w:t>Instituciones del Estado a las cuales la Constitución les confió las funciones de control disciplinario, la defensa de los intereses de la sociedad y el control fiscal.</w:t>
      </w:r>
    </w:p>
    <w:p w:rsidR="00E5421F" w:rsidRDefault="00E5421F" w:rsidP="00357F5A">
      <w:pPr>
        <w:tabs>
          <w:tab w:val="left" w:pos="3192"/>
        </w:tabs>
        <w:spacing w:line="160" w:lineRule="atLeast"/>
        <w:rPr>
          <w:rFonts w:cs="Arial"/>
          <w:szCs w:val="24"/>
        </w:rPr>
      </w:pPr>
    </w:p>
    <w:p w:rsid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MINISTERIO PÚBLICO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PROCURADURÍA GENERAL DE LA NACIÓN</w:t>
      </w:r>
      <w:r w:rsidR="00743E7F">
        <w:rPr>
          <w:rFonts w:cs="Arial"/>
          <w:szCs w:val="24"/>
        </w:rPr>
        <w:t xml:space="preserve"> </w:t>
      </w:r>
    </w:p>
    <w:p w:rsid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DEFENSORÍA DEL PUEBLO</w:t>
      </w:r>
    </w:p>
    <w:p w:rsidR="00C16951" w:rsidRPr="002640FB" w:rsidRDefault="00C16951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>
        <w:rPr>
          <w:rFonts w:cs="Arial"/>
          <w:szCs w:val="24"/>
        </w:rPr>
        <w:t>DEFENSORÍA REGIONALES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PROCURADURÍAS REGIONALES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PERSONERÍAS MUNICIPALES Y DISTRITALES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PROCURADURÍAS DEPARTAMENTALES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PROCURADURÍAS DISTRITALES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PROCURADURÍAS MUNICIPALES</w:t>
      </w:r>
    </w:p>
    <w:p w:rsidR="00743E7F" w:rsidRDefault="00743E7F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</w:p>
    <w:p w:rsidR="00743E7F" w:rsidRPr="002640FB" w:rsidRDefault="00743E7F" w:rsidP="00743E7F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CONTROL FISCAL</w:t>
      </w:r>
    </w:p>
    <w:p w:rsidR="00743E7F" w:rsidRDefault="00743E7F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AUDITORÍA GENERAL DE LA REPÚBLICA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CONTRALORÍA GENERAL DE LA REPÚBLICA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CONTRALORÍAS DELEGADAS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GERENCIAS DEPARTAMENTALES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DEFENSORÍAS REGIONALES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GERENCIAS NACIONALES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CONTRALORÍAS DEPARTAMENTALES</w:t>
      </w:r>
    </w:p>
    <w:p w:rsidR="002640FB" w:rsidRPr="002640FB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CONTRALORÍAS DISTRITALES Y MUNICIPALES</w:t>
      </w:r>
    </w:p>
    <w:p w:rsidR="00596F65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lastRenderedPageBreak/>
        <w:t>SECTOR CENTRAL</w:t>
      </w:r>
    </w:p>
    <w:p w:rsidR="00357F5A" w:rsidRPr="00357F5A" w:rsidRDefault="002640FB" w:rsidP="002640FB">
      <w:pPr>
        <w:tabs>
          <w:tab w:val="left" w:pos="3192"/>
        </w:tabs>
        <w:spacing w:line="160" w:lineRule="atLeast"/>
        <w:rPr>
          <w:rFonts w:cs="Arial"/>
          <w:szCs w:val="24"/>
        </w:rPr>
      </w:pPr>
      <w:r w:rsidRPr="002640FB">
        <w:rPr>
          <w:rFonts w:cs="Arial"/>
          <w:szCs w:val="24"/>
        </w:rPr>
        <w:t>SECTOR DESCENTRALIZADO</w:t>
      </w:r>
      <w:r w:rsidRPr="00357F5A">
        <w:rPr>
          <w:rFonts w:cs="Arial"/>
          <w:szCs w:val="24"/>
        </w:rPr>
        <w:tab/>
      </w:r>
    </w:p>
    <w:p w:rsidR="00357F5A" w:rsidRPr="00357F5A" w:rsidRDefault="00357F5A" w:rsidP="00357F5A">
      <w:pPr>
        <w:tabs>
          <w:tab w:val="left" w:pos="6990"/>
        </w:tabs>
        <w:spacing w:line="160" w:lineRule="atLeast"/>
        <w:rPr>
          <w:rFonts w:cs="Arial"/>
          <w:szCs w:val="24"/>
        </w:rPr>
      </w:pPr>
    </w:p>
    <w:p w:rsidR="002E212D" w:rsidRPr="00357F5A" w:rsidRDefault="002E212D">
      <w:pPr>
        <w:rPr>
          <w:rFonts w:cs="Arial"/>
          <w:szCs w:val="24"/>
        </w:rPr>
      </w:pPr>
    </w:p>
    <w:sectPr w:rsidR="002E212D" w:rsidRPr="00357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AD3"/>
    <w:multiLevelType w:val="hybridMultilevel"/>
    <w:tmpl w:val="2EEC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21CA"/>
    <w:multiLevelType w:val="hybridMultilevel"/>
    <w:tmpl w:val="15B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5E1A"/>
    <w:multiLevelType w:val="hybridMultilevel"/>
    <w:tmpl w:val="B62A034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8B5F14"/>
    <w:multiLevelType w:val="hybridMultilevel"/>
    <w:tmpl w:val="80525B8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5A"/>
    <w:rsid w:val="00154D10"/>
    <w:rsid w:val="001D6C2B"/>
    <w:rsid w:val="002640FB"/>
    <w:rsid w:val="002E212D"/>
    <w:rsid w:val="00357F5A"/>
    <w:rsid w:val="00387679"/>
    <w:rsid w:val="003F681D"/>
    <w:rsid w:val="00401AEA"/>
    <w:rsid w:val="00596F65"/>
    <w:rsid w:val="005A768B"/>
    <w:rsid w:val="006220BB"/>
    <w:rsid w:val="00647406"/>
    <w:rsid w:val="00681C13"/>
    <w:rsid w:val="0069072B"/>
    <w:rsid w:val="00743E7F"/>
    <w:rsid w:val="00800D3D"/>
    <w:rsid w:val="008843C7"/>
    <w:rsid w:val="0090655F"/>
    <w:rsid w:val="0095253A"/>
    <w:rsid w:val="00A15069"/>
    <w:rsid w:val="00A24744"/>
    <w:rsid w:val="00A5423B"/>
    <w:rsid w:val="00AB1CF4"/>
    <w:rsid w:val="00B2393D"/>
    <w:rsid w:val="00BB54F8"/>
    <w:rsid w:val="00C16951"/>
    <w:rsid w:val="00CE5928"/>
    <w:rsid w:val="00E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D569"/>
  <w15:chartTrackingRefBased/>
  <w15:docId w15:val="{77FE6279-C54A-480E-AA69-F7DFDD08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7F5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57F5A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7F5A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57F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592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bit.ly/2U2KHK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d99xQ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Pac08</b:Tag>
    <b:SourceType>Book</b:SourceType>
    <b:Guid>{FCCC86BE-4CD4-4279-AD84-38EAF949A82B}</b:Guid>
    <b:Title>Diccionario de la Administración Pública</b:Title>
    <b:Year>2008</b:Year>
    <b:City>Bogotá</b:City>
    <b:Publisher>Temis</b:Publisher>
    <b:Author>
      <b:Author>
        <b:NameList>
          <b:Person>
            <b:Last>Pachon Lucas</b:Last>
            <b:First>Carlos</b:First>
          </b:Person>
        </b:NameList>
      </b:Author>
    </b:Author>
    <b:RefOrder>2</b:RefOrder>
  </b:Source>
  <b:Source>
    <b:Tag>Mad05</b:Tag>
    <b:SourceType>Book</b:SourceType>
    <b:Guid>{05472FFC-6A6F-4E6A-A32E-D68048AFDF58}</b:Guid>
    <b:Title>Diccionario de la Constitución Política de Colombia</b:Title>
    <b:Year>2005</b:Year>
    <b:City>Bogotá</b:City>
    <b:Publisher>Ediciones del Profesional 3o.Edición</b:Publisher>
    <b:Author>
      <b:Author>
        <b:NameList>
          <b:Person>
            <b:Last>Madrid</b:Last>
            <b:First>Malo,</b:First>
            <b:Middle>Mario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A5AF6E7-3B76-48AF-A62F-50220DEC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26</cp:revision>
  <dcterms:created xsi:type="dcterms:W3CDTF">2020-03-19T07:13:00Z</dcterms:created>
  <dcterms:modified xsi:type="dcterms:W3CDTF">2020-09-21T20:41:00Z</dcterms:modified>
</cp:coreProperties>
</file>