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32" w:rsidRDefault="00AF7A32" w:rsidP="00AF7A32">
      <w:pPr>
        <w:tabs>
          <w:tab w:val="left" w:pos="6990"/>
        </w:tabs>
        <w:spacing w:line="160" w:lineRule="atLeast"/>
        <w:jc w:val="center"/>
        <w:rPr>
          <w:rFonts w:cs="Arial"/>
          <w:b/>
          <w:szCs w:val="24"/>
        </w:rPr>
      </w:pPr>
      <w:r w:rsidRPr="00AF7A32">
        <w:rPr>
          <w:rFonts w:cs="Arial"/>
          <w:b/>
          <w:szCs w:val="24"/>
        </w:rPr>
        <w:t>La responsabilidad de los servidores públicos</w:t>
      </w:r>
    </w:p>
    <w:p w:rsidR="00A36ADD" w:rsidRDefault="00A36ADD" w:rsidP="00AF7A32">
      <w:pPr>
        <w:tabs>
          <w:tab w:val="left" w:pos="6990"/>
        </w:tabs>
        <w:spacing w:line="160" w:lineRule="atLeast"/>
        <w:jc w:val="center"/>
        <w:rPr>
          <w:rFonts w:cs="Arial"/>
          <w:b/>
          <w:szCs w:val="24"/>
        </w:rPr>
      </w:pPr>
    </w:p>
    <w:p w:rsidR="00A36ADD" w:rsidRDefault="00A36ADD" w:rsidP="00A36ADD">
      <w:pPr>
        <w:tabs>
          <w:tab w:val="left" w:pos="6990"/>
        </w:tabs>
        <w:spacing w:line="160" w:lineRule="atLeast"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Instrucción: </w:t>
      </w:r>
      <w:r w:rsidRPr="00A36ADD">
        <w:rPr>
          <w:rFonts w:cs="Arial"/>
          <w:szCs w:val="24"/>
        </w:rPr>
        <w:t xml:space="preserve">realizar </w:t>
      </w:r>
      <w:r w:rsidR="00CE1462">
        <w:rPr>
          <w:rFonts w:cs="Arial"/>
          <w:szCs w:val="24"/>
        </w:rPr>
        <w:t>interactividad</w:t>
      </w:r>
      <w:r w:rsidRPr="00A36ADD">
        <w:rPr>
          <w:rFonts w:cs="Arial"/>
          <w:szCs w:val="24"/>
        </w:rPr>
        <w:t xml:space="preserve"> de 4 secciones con la plantilla</w:t>
      </w:r>
      <w:r w:rsidR="00491812">
        <w:t xml:space="preserve">: </w:t>
      </w:r>
      <w:proofErr w:type="spellStart"/>
      <w:r w:rsidR="00491812" w:rsidRPr="00491812">
        <w:rPr>
          <w:color w:val="FF0000"/>
        </w:rPr>
        <w:t>Edge</w:t>
      </w:r>
      <w:proofErr w:type="spellEnd"/>
      <w:r w:rsidR="00491812" w:rsidRPr="00491812">
        <w:rPr>
          <w:color w:val="FF0000"/>
        </w:rPr>
        <w:t xml:space="preserve">/4 ítems/ </w:t>
      </w:r>
      <w:proofErr w:type="spellStart"/>
      <w:r w:rsidR="00491812" w:rsidRPr="00491812">
        <w:rPr>
          <w:color w:val="FF0000"/>
        </w:rPr>
        <w:t>opciones_numeros</w:t>
      </w:r>
      <w:proofErr w:type="spellEnd"/>
      <w:r w:rsidR="00491812" w:rsidRPr="00491812">
        <w:rPr>
          <w:color w:val="FF0000"/>
        </w:rPr>
        <w:t xml:space="preserve"> </w:t>
      </w:r>
      <w:r w:rsidRPr="00A36ADD">
        <w:rPr>
          <w:rFonts w:cs="Arial"/>
          <w:szCs w:val="24"/>
        </w:rPr>
        <w:t>dejar solo los números y cuando se dé clic en cada uno se despliega ícono + título + información</w:t>
      </w:r>
      <w:r w:rsidR="0035102A">
        <w:rPr>
          <w:rFonts w:cs="Arial"/>
          <w:szCs w:val="24"/>
        </w:rPr>
        <w:t xml:space="preserve"> </w:t>
      </w:r>
      <w:r w:rsidR="00CE1462">
        <w:rPr>
          <w:rFonts w:cs="Arial"/>
          <w:szCs w:val="24"/>
        </w:rPr>
        <w:t xml:space="preserve">(sale de a un solo ítem porque </w:t>
      </w:r>
      <w:r w:rsidR="00B20B2E">
        <w:rPr>
          <w:rFonts w:cs="Arial"/>
          <w:szCs w:val="24"/>
        </w:rPr>
        <w:t xml:space="preserve">los textos son densos). </w:t>
      </w:r>
      <w:r w:rsidR="0081472E">
        <w:rPr>
          <w:rFonts w:cs="Arial"/>
          <w:szCs w:val="24"/>
        </w:rPr>
        <w:t xml:space="preserve">Va título + introducción + </w:t>
      </w:r>
      <w:r w:rsidR="007A1CB6">
        <w:rPr>
          <w:rFonts w:cs="Arial"/>
          <w:szCs w:val="24"/>
        </w:rPr>
        <w:t>instrucción + interactividad</w:t>
      </w:r>
      <w:r w:rsidR="0081472E">
        <w:rPr>
          <w:rFonts w:cs="Arial"/>
          <w:szCs w:val="24"/>
        </w:rPr>
        <w:t>.</w:t>
      </w:r>
    </w:p>
    <w:p w:rsidR="00B20B2E" w:rsidRDefault="00B20B2E" w:rsidP="00A36ADD">
      <w:pPr>
        <w:tabs>
          <w:tab w:val="left" w:pos="6990"/>
        </w:tabs>
        <w:spacing w:line="160" w:lineRule="atLeast"/>
        <w:jc w:val="left"/>
        <w:rPr>
          <w:rFonts w:cs="Arial"/>
          <w:szCs w:val="24"/>
        </w:rPr>
      </w:pPr>
    </w:p>
    <w:p w:rsidR="00B20B2E" w:rsidRPr="00AF7A32" w:rsidRDefault="00B20B2E" w:rsidP="00A36ADD">
      <w:pPr>
        <w:tabs>
          <w:tab w:val="left" w:pos="6990"/>
        </w:tabs>
        <w:spacing w:line="160" w:lineRule="atLeast"/>
        <w:jc w:val="left"/>
        <w:rPr>
          <w:b/>
        </w:rPr>
      </w:pPr>
      <w:r>
        <w:rPr>
          <w:rFonts w:cs="Arial"/>
          <w:szCs w:val="24"/>
        </w:rPr>
        <w:t xml:space="preserve">Imagen central: </w:t>
      </w:r>
      <w:r w:rsidR="0091028F" w:rsidRPr="0091028F">
        <w:rPr>
          <w:rFonts w:cs="Arial"/>
          <w:szCs w:val="24"/>
        </w:rPr>
        <w:t>1159388779</w:t>
      </w:r>
      <w:bookmarkStart w:id="0" w:name="_GoBack"/>
      <w:bookmarkEnd w:id="0"/>
    </w:p>
    <w:p w:rsidR="00AF7A32" w:rsidRDefault="00491812" w:rsidP="00491812">
      <w:pPr>
        <w:tabs>
          <w:tab w:val="left" w:pos="7920"/>
        </w:tabs>
        <w:spacing w:line="160" w:lineRule="atLeast"/>
      </w:pPr>
      <w:r>
        <w:tab/>
      </w:r>
    </w:p>
    <w:p w:rsidR="006E2F3E" w:rsidRPr="00773CA1" w:rsidRDefault="00AF7A32" w:rsidP="00E92D24">
      <w:pPr>
        <w:autoSpaceDE w:val="0"/>
        <w:autoSpaceDN w:val="0"/>
        <w:adjustRightInd w:val="0"/>
        <w:rPr>
          <w:rFonts w:cs="Arial"/>
          <w:b/>
          <w:szCs w:val="24"/>
          <w:lang w:eastAsia="en-US"/>
        </w:rPr>
      </w:pPr>
      <w:r w:rsidRPr="00773CA1">
        <w:rPr>
          <w:rFonts w:cs="Arial"/>
          <w:b/>
          <w:szCs w:val="24"/>
          <w:lang w:eastAsia="en-US"/>
        </w:rPr>
        <w:t xml:space="preserve">Por estar al servicio del Estado y de la comunidad en general, los servidores públicos ejercen sus funciones en la forma prevista por la Constitución, la ley o el reglamento donde se encuentran estipuladas sus responsabilidades, ya sean políticas, civiles o patrimoniales, penales o disciplinarias. </w:t>
      </w:r>
      <w:r w:rsidR="006E2F3E" w:rsidRPr="00773CA1">
        <w:rPr>
          <w:rFonts w:cs="Arial"/>
          <w:b/>
          <w:szCs w:val="24"/>
          <w:lang w:eastAsia="en-US"/>
        </w:rPr>
        <w:t>La Carta Magna en su artículo 6º señala:</w:t>
      </w:r>
      <w:r w:rsidR="00E92D24" w:rsidRPr="00773CA1">
        <w:rPr>
          <w:rFonts w:cs="Arial"/>
          <w:b/>
          <w:szCs w:val="24"/>
          <w:lang w:eastAsia="en-US"/>
        </w:rPr>
        <w:t xml:space="preserve"> </w:t>
      </w:r>
      <w:r w:rsidR="006E2F3E" w:rsidRPr="00773CA1">
        <w:rPr>
          <w:b/>
          <w:szCs w:val="24"/>
        </w:rPr>
        <w:t>Los particulares solamente son responsables ante las autoridades por infringir la Constitución y las leyes. Los servidores públicos lo son por la misma causa y por omisión o extralimitación en</w:t>
      </w:r>
      <w:r w:rsidR="00DB01D0" w:rsidRPr="00773CA1">
        <w:rPr>
          <w:b/>
          <w:szCs w:val="24"/>
        </w:rPr>
        <w:t xml:space="preserve"> el ejercicio de sus funciones.</w:t>
      </w:r>
    </w:p>
    <w:p w:rsidR="006E2F3E" w:rsidRDefault="006E2F3E" w:rsidP="006E2F3E">
      <w:pPr>
        <w:tabs>
          <w:tab w:val="left" w:pos="6990"/>
        </w:tabs>
        <w:spacing w:line="160" w:lineRule="atLeast"/>
        <w:rPr>
          <w:szCs w:val="24"/>
        </w:rPr>
      </w:pPr>
    </w:p>
    <w:p w:rsidR="00CE0369" w:rsidRDefault="00CE0369" w:rsidP="00CE0369">
      <w:pPr>
        <w:autoSpaceDE w:val="0"/>
        <w:autoSpaceDN w:val="0"/>
        <w:adjustRightInd w:val="0"/>
        <w:jc w:val="center"/>
        <w:rPr>
          <w:rFonts w:cs="Arial"/>
          <w:b/>
          <w:color w:val="4472C4" w:themeColor="accent5"/>
          <w:szCs w:val="24"/>
          <w:lang w:eastAsia="en-US"/>
        </w:rPr>
      </w:pPr>
      <w:r w:rsidRPr="00CE0369">
        <w:rPr>
          <w:rFonts w:cs="Arial"/>
          <w:b/>
          <w:color w:val="4472C4" w:themeColor="accent5"/>
          <w:szCs w:val="24"/>
          <w:lang w:eastAsia="en-US"/>
        </w:rPr>
        <w:t>Haga clic en cada número para ampliar la información:</w:t>
      </w:r>
    </w:p>
    <w:p w:rsidR="00550C86" w:rsidRDefault="00550C86" w:rsidP="00CE0369">
      <w:pPr>
        <w:autoSpaceDE w:val="0"/>
        <w:autoSpaceDN w:val="0"/>
        <w:adjustRightInd w:val="0"/>
        <w:jc w:val="center"/>
        <w:rPr>
          <w:rFonts w:cs="Arial"/>
          <w:b/>
          <w:color w:val="4472C4" w:themeColor="accent5"/>
          <w:szCs w:val="24"/>
          <w:lang w:eastAsia="en-US"/>
        </w:rPr>
      </w:pPr>
    </w:p>
    <w:p w:rsidR="00550C86" w:rsidRPr="00CE0369" w:rsidRDefault="00550C86" w:rsidP="00CE0369">
      <w:pPr>
        <w:autoSpaceDE w:val="0"/>
        <w:autoSpaceDN w:val="0"/>
        <w:adjustRightInd w:val="0"/>
        <w:jc w:val="center"/>
        <w:rPr>
          <w:rFonts w:cs="Arial"/>
          <w:b/>
          <w:color w:val="4472C4" w:themeColor="accent5"/>
          <w:szCs w:val="24"/>
          <w:lang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4196922" cy="2967355"/>
            <wp:effectExtent l="0" t="0" r="0" b="4445"/>
            <wp:docPr id="6" name="Imagen 6" descr="Trabajo en equipo de oficina isométrica : Ilustraci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bajo en equipo de oficina isométrica : Ilustración de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532" cy="296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8B" w:rsidRDefault="0014378B" w:rsidP="00AF7A32">
      <w:pPr>
        <w:autoSpaceDE w:val="0"/>
        <w:autoSpaceDN w:val="0"/>
        <w:adjustRightInd w:val="0"/>
        <w:rPr>
          <w:rFonts w:cs="Arial"/>
          <w:szCs w:val="24"/>
          <w:lang w:eastAsia="en-US"/>
        </w:rPr>
      </w:pPr>
    </w:p>
    <w:p w:rsidR="00AF7A32" w:rsidRDefault="00AF7A32" w:rsidP="00AF7A32">
      <w:pPr>
        <w:autoSpaceDE w:val="0"/>
        <w:autoSpaceDN w:val="0"/>
        <w:adjustRightInd w:val="0"/>
        <w:rPr>
          <w:szCs w:val="24"/>
        </w:rPr>
      </w:pPr>
    </w:p>
    <w:p w:rsidR="00AF7A32" w:rsidRDefault="00AF7A32" w:rsidP="00A36ADD">
      <w:pPr>
        <w:autoSpaceDE w:val="0"/>
        <w:autoSpaceDN w:val="0"/>
        <w:adjustRightInd w:val="0"/>
        <w:jc w:val="center"/>
        <w:rPr>
          <w:rFonts w:cs="Arial"/>
          <w:szCs w:val="24"/>
          <w:lang w:eastAsia="en-US"/>
        </w:rPr>
      </w:pPr>
    </w:p>
    <w:p w:rsidR="00756B05" w:rsidRDefault="00756B05" w:rsidP="00A36ADD">
      <w:pPr>
        <w:autoSpaceDE w:val="0"/>
        <w:autoSpaceDN w:val="0"/>
        <w:adjustRightInd w:val="0"/>
        <w:jc w:val="center"/>
        <w:rPr>
          <w:rFonts w:cs="Arial"/>
          <w:szCs w:val="24"/>
          <w:lang w:eastAsia="en-US"/>
        </w:rPr>
      </w:pPr>
    </w:p>
    <w:p w:rsidR="00756B05" w:rsidRPr="00271B61" w:rsidRDefault="00756B05" w:rsidP="00756B05">
      <w:pPr>
        <w:autoSpaceDE w:val="0"/>
        <w:autoSpaceDN w:val="0"/>
        <w:adjustRightInd w:val="0"/>
        <w:rPr>
          <w:rFonts w:cs="Arial"/>
          <w:szCs w:val="24"/>
          <w:highlight w:val="yellow"/>
          <w:lang w:eastAsia="en-US"/>
        </w:rPr>
      </w:pPr>
      <w:r>
        <w:rPr>
          <w:rFonts w:cs="Arial"/>
          <w:szCs w:val="24"/>
          <w:lang w:eastAsia="en-US"/>
        </w:rPr>
        <w:t xml:space="preserve">1. </w:t>
      </w:r>
      <w:r w:rsidRPr="003C583F">
        <w:rPr>
          <w:rFonts w:cs="Arial"/>
          <w:b/>
          <w:szCs w:val="24"/>
          <w:lang w:eastAsia="en-US"/>
        </w:rPr>
        <w:t>Responsabilidad penal</w:t>
      </w:r>
      <w:r w:rsidR="00271B61">
        <w:rPr>
          <w:rFonts w:cs="Arial"/>
          <w:b/>
          <w:szCs w:val="24"/>
          <w:lang w:eastAsia="en-US"/>
        </w:rPr>
        <w:t xml:space="preserve"> (</w:t>
      </w:r>
      <w:hyperlink r:id="rId6" w:history="1">
        <w:r w:rsidR="00271B61" w:rsidRPr="00271B61">
          <w:rPr>
            <w:rStyle w:val="Hipervnculo"/>
            <w:rFonts w:cs="Arial"/>
            <w:b/>
            <w:szCs w:val="24"/>
            <w:highlight w:val="yellow"/>
            <w:lang w:eastAsia="en-US"/>
          </w:rPr>
          <w:t>https://bit.ly/2Wx8zqT</w:t>
        </w:r>
      </w:hyperlink>
      <w:r w:rsidR="00271B61" w:rsidRPr="00271B61">
        <w:rPr>
          <w:rFonts w:cs="Arial"/>
          <w:b/>
          <w:szCs w:val="24"/>
          <w:highlight w:val="yellow"/>
          <w:lang w:eastAsia="en-US"/>
        </w:rPr>
        <w:t xml:space="preserve"> - IST_15344_24899)</w:t>
      </w:r>
    </w:p>
    <w:p w:rsidR="00756B05" w:rsidRDefault="00271B61" w:rsidP="00756B05">
      <w:pPr>
        <w:autoSpaceDE w:val="0"/>
        <w:autoSpaceDN w:val="0"/>
        <w:adjustRightInd w:val="0"/>
        <w:rPr>
          <w:rFonts w:cs="Arial"/>
          <w:szCs w:val="24"/>
          <w:lang w:eastAsia="en-US"/>
        </w:rPr>
      </w:pPr>
      <w:r w:rsidRPr="00271B61">
        <w:rPr>
          <w:noProof/>
          <w:highlight w:val="yellow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56967A4" wp14:editId="67BA04C6">
            <wp:simplePos x="0" y="0"/>
            <wp:positionH relativeFrom="column">
              <wp:posOffset>53340</wp:posOffset>
            </wp:positionH>
            <wp:positionV relativeFrom="paragraph">
              <wp:posOffset>62230</wp:posOffset>
            </wp:positionV>
            <wp:extent cx="577850" cy="581025"/>
            <wp:effectExtent l="0" t="0" r="0" b="9525"/>
            <wp:wrapNone/>
            <wp:docPr id="5" name="Imagen 5" descr="Crime icons set in cartoon style. Crime and punishment elements set collection vector illustration. Crime icons set in cartoon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ime icons set in cartoon style. Crime and punishment elements set collection vector illustration. Crime icons set in cartoon sty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00" t="53113" r="26800" b="27000"/>
                    <a:stretch/>
                  </pic:blipFill>
                  <pic:spPr bwMode="auto">
                    <a:xfrm>
                      <a:off x="0" y="0"/>
                      <a:ext cx="57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71B61" w:rsidRDefault="00271B61" w:rsidP="00756B05">
      <w:pPr>
        <w:autoSpaceDE w:val="0"/>
        <w:autoSpaceDN w:val="0"/>
        <w:adjustRightInd w:val="0"/>
        <w:rPr>
          <w:rFonts w:cs="Arial"/>
          <w:szCs w:val="24"/>
          <w:lang w:eastAsia="en-US"/>
        </w:rPr>
      </w:pPr>
    </w:p>
    <w:p w:rsidR="00271B61" w:rsidRDefault="00271B61" w:rsidP="00756B05">
      <w:pPr>
        <w:autoSpaceDE w:val="0"/>
        <w:autoSpaceDN w:val="0"/>
        <w:adjustRightInd w:val="0"/>
        <w:rPr>
          <w:rFonts w:cs="Arial"/>
          <w:szCs w:val="24"/>
          <w:lang w:eastAsia="en-US"/>
        </w:rPr>
      </w:pPr>
    </w:p>
    <w:p w:rsidR="00271B61" w:rsidRDefault="00271B61" w:rsidP="00756B05">
      <w:pPr>
        <w:autoSpaceDE w:val="0"/>
        <w:autoSpaceDN w:val="0"/>
        <w:adjustRightInd w:val="0"/>
        <w:rPr>
          <w:rFonts w:cs="Arial"/>
          <w:szCs w:val="24"/>
          <w:lang w:eastAsia="en-US"/>
        </w:rPr>
      </w:pPr>
    </w:p>
    <w:p w:rsidR="00756B05" w:rsidRDefault="00756B05" w:rsidP="00756B05">
      <w:pPr>
        <w:autoSpaceDE w:val="0"/>
        <w:autoSpaceDN w:val="0"/>
        <w:adjustRightInd w:val="0"/>
        <w:rPr>
          <w:rFonts w:cs="Arial"/>
          <w:szCs w:val="24"/>
          <w:lang w:eastAsia="en-US"/>
        </w:rPr>
      </w:pPr>
      <w:r w:rsidRPr="00756B05">
        <w:rPr>
          <w:rFonts w:cs="Arial"/>
          <w:szCs w:val="24"/>
          <w:lang w:eastAsia="en-US"/>
        </w:rPr>
        <w:lastRenderedPageBreak/>
        <w:t>Se entiende que el servidor público ha incurrido en un delito contra la administración púb</w:t>
      </w:r>
      <w:r w:rsidR="008A6B1B">
        <w:rPr>
          <w:rFonts w:cs="Arial"/>
          <w:szCs w:val="24"/>
          <w:lang w:eastAsia="en-US"/>
        </w:rPr>
        <w:t>lica cuando su conducta s</w:t>
      </w:r>
      <w:r w:rsidR="007A6347">
        <w:rPr>
          <w:rFonts w:cs="Arial"/>
          <w:szCs w:val="24"/>
          <w:lang w:eastAsia="en-US"/>
        </w:rPr>
        <w:t>e adecu</w:t>
      </w:r>
      <w:r w:rsidRPr="00756B05">
        <w:rPr>
          <w:rFonts w:cs="Arial"/>
          <w:szCs w:val="24"/>
          <w:lang w:eastAsia="en-US"/>
        </w:rPr>
        <w:t>e al tipo penal establecido dentro del título XV, del Código Penal Colombiano (Ley 599 de 2000, artículos 397 y siguientes); entre los cuales se destacan el peculado por apropiación, cohecho, concusión, celebración indebida de contratos, tráficos de influencias, utilización indebida de información privilegiada, enriquecimiento ilícito, prevaricato por omisión, intervención en</w:t>
      </w:r>
      <w:r w:rsidR="00271B61">
        <w:rPr>
          <w:rFonts w:cs="Arial"/>
          <w:szCs w:val="24"/>
          <w:lang w:eastAsia="en-US"/>
        </w:rPr>
        <w:t xml:space="preserve"> política, abuso de autoridad, </w:t>
      </w:r>
      <w:r w:rsidRPr="00756B05">
        <w:rPr>
          <w:rFonts w:cs="Arial"/>
          <w:szCs w:val="24"/>
          <w:lang w:eastAsia="en-US"/>
        </w:rPr>
        <w:t xml:space="preserve">abuso de funciones públicas, entre otros. Deberá responder ante la Fiscalía General de la Nación. </w:t>
      </w:r>
    </w:p>
    <w:p w:rsidR="008A6B1B" w:rsidRPr="00756B05" w:rsidRDefault="008A6B1B" w:rsidP="00756B05">
      <w:pPr>
        <w:autoSpaceDE w:val="0"/>
        <w:autoSpaceDN w:val="0"/>
        <w:adjustRightInd w:val="0"/>
        <w:rPr>
          <w:rFonts w:cs="Arial"/>
          <w:szCs w:val="24"/>
          <w:lang w:eastAsia="en-US"/>
        </w:rPr>
      </w:pPr>
    </w:p>
    <w:p w:rsidR="008A6B1B" w:rsidRDefault="008A6B1B" w:rsidP="00756B05">
      <w:pPr>
        <w:autoSpaceDE w:val="0"/>
        <w:autoSpaceDN w:val="0"/>
        <w:adjustRightInd w:val="0"/>
        <w:rPr>
          <w:rFonts w:cs="Arial"/>
          <w:b/>
          <w:szCs w:val="24"/>
          <w:lang w:eastAsia="en-US"/>
        </w:rPr>
      </w:pPr>
      <w:r w:rsidRPr="008A6B1B">
        <w:rPr>
          <w:rFonts w:cs="Arial"/>
          <w:b/>
          <w:szCs w:val="24"/>
          <w:lang w:eastAsia="en-US"/>
        </w:rPr>
        <w:t xml:space="preserve">2. </w:t>
      </w:r>
      <w:r w:rsidR="00756B05" w:rsidRPr="008A6B1B">
        <w:rPr>
          <w:rFonts w:cs="Arial"/>
          <w:b/>
          <w:szCs w:val="24"/>
          <w:lang w:eastAsia="en-US"/>
        </w:rPr>
        <w:t>R</w:t>
      </w:r>
      <w:r w:rsidRPr="008A6B1B">
        <w:rPr>
          <w:rFonts w:cs="Arial"/>
          <w:b/>
          <w:szCs w:val="24"/>
          <w:lang w:eastAsia="en-US"/>
        </w:rPr>
        <w:t>esponsabilidad fiscal</w:t>
      </w:r>
      <w:r w:rsidR="00271B61">
        <w:rPr>
          <w:rFonts w:cs="Arial"/>
          <w:b/>
          <w:szCs w:val="24"/>
          <w:lang w:eastAsia="en-US"/>
        </w:rPr>
        <w:t xml:space="preserve"> (</w:t>
      </w:r>
      <w:hyperlink r:id="rId8" w:history="1">
        <w:r w:rsidR="00271B61" w:rsidRPr="00271B61">
          <w:rPr>
            <w:rStyle w:val="Hipervnculo"/>
            <w:rFonts w:cs="Arial"/>
            <w:b/>
            <w:szCs w:val="24"/>
            <w:highlight w:val="yellow"/>
            <w:lang w:eastAsia="en-US"/>
          </w:rPr>
          <w:t>https://bit.ly/2Wx8zqT</w:t>
        </w:r>
      </w:hyperlink>
      <w:r w:rsidR="00271B61" w:rsidRPr="00271B61">
        <w:rPr>
          <w:rFonts w:cs="Arial"/>
          <w:b/>
          <w:szCs w:val="24"/>
          <w:highlight w:val="yellow"/>
          <w:lang w:eastAsia="en-US"/>
        </w:rPr>
        <w:t xml:space="preserve"> - IST_15344_24899)</w:t>
      </w:r>
    </w:p>
    <w:p w:rsidR="00271B61" w:rsidRDefault="00271B61" w:rsidP="00756B05">
      <w:pPr>
        <w:autoSpaceDE w:val="0"/>
        <w:autoSpaceDN w:val="0"/>
        <w:adjustRightInd w:val="0"/>
        <w:rPr>
          <w:rFonts w:cs="Arial"/>
          <w:b/>
          <w:szCs w:val="24"/>
          <w:lang w:eastAsia="en-US"/>
        </w:rPr>
      </w:pPr>
    </w:p>
    <w:p w:rsidR="00271B61" w:rsidRPr="008A6B1B" w:rsidRDefault="00271B61" w:rsidP="00756B05">
      <w:pPr>
        <w:autoSpaceDE w:val="0"/>
        <w:autoSpaceDN w:val="0"/>
        <w:adjustRightInd w:val="0"/>
        <w:rPr>
          <w:rFonts w:cs="Arial"/>
          <w:b/>
          <w:szCs w:val="24"/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18C5D753" wp14:editId="78E257A7">
            <wp:extent cx="638175" cy="644964"/>
            <wp:effectExtent l="0" t="0" r="0" b="3175"/>
            <wp:docPr id="4" name="Imagen 4" descr="Crime icons set in cartoon style. Crime and punishment elements set collection vector illustration. Crime icons set in cartoon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ime icons set in cartoon style. Crime and punishment elements set collection vector illustration. Crime icons set in cartoon sty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00" t="78000" r="3400" b="3000"/>
                    <a:stretch/>
                  </pic:blipFill>
                  <pic:spPr bwMode="auto">
                    <a:xfrm>
                      <a:off x="0" y="0"/>
                      <a:ext cx="643261" cy="65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B1B" w:rsidRDefault="008A6B1B" w:rsidP="00756B05">
      <w:pPr>
        <w:autoSpaceDE w:val="0"/>
        <w:autoSpaceDN w:val="0"/>
        <w:adjustRightInd w:val="0"/>
        <w:rPr>
          <w:rFonts w:cs="Arial"/>
          <w:szCs w:val="24"/>
          <w:lang w:eastAsia="en-US"/>
        </w:rPr>
      </w:pPr>
    </w:p>
    <w:p w:rsidR="00756B05" w:rsidRDefault="00756B05" w:rsidP="00756B05">
      <w:pPr>
        <w:autoSpaceDE w:val="0"/>
        <w:autoSpaceDN w:val="0"/>
        <w:adjustRightInd w:val="0"/>
        <w:rPr>
          <w:rFonts w:cs="Arial"/>
          <w:szCs w:val="24"/>
          <w:lang w:eastAsia="en-US"/>
        </w:rPr>
      </w:pPr>
      <w:r w:rsidRPr="00756B05">
        <w:rPr>
          <w:rFonts w:cs="Arial"/>
          <w:szCs w:val="24"/>
          <w:lang w:eastAsia="en-US"/>
        </w:rPr>
        <w:t>Carga u obligación que tiene o puede llegar a tener un servidor público a favor del Estado, por las actuaciones dolosas o graves culposas de este que se deriven de su desempeño y la afectación que con que con dichas conductas se produzcan al patrimonio público estatal. Deberá responder ante la Contraloría General de la Nación.</w:t>
      </w:r>
    </w:p>
    <w:p w:rsidR="008A6B1B" w:rsidRDefault="008A6B1B" w:rsidP="00756B05">
      <w:pPr>
        <w:autoSpaceDE w:val="0"/>
        <w:autoSpaceDN w:val="0"/>
        <w:adjustRightInd w:val="0"/>
        <w:rPr>
          <w:rFonts w:cs="Arial"/>
          <w:szCs w:val="24"/>
          <w:lang w:eastAsia="en-US"/>
        </w:rPr>
      </w:pPr>
    </w:p>
    <w:p w:rsidR="008A6B1B" w:rsidRDefault="008A6B1B" w:rsidP="00756B05">
      <w:pPr>
        <w:autoSpaceDE w:val="0"/>
        <w:autoSpaceDN w:val="0"/>
        <w:adjustRightInd w:val="0"/>
        <w:rPr>
          <w:rFonts w:cs="Arial"/>
          <w:b/>
          <w:szCs w:val="24"/>
          <w:lang w:eastAsia="en-US"/>
        </w:rPr>
      </w:pPr>
      <w:r w:rsidRPr="008A6B1B">
        <w:rPr>
          <w:rFonts w:cs="Arial"/>
          <w:b/>
          <w:szCs w:val="24"/>
          <w:lang w:eastAsia="en-US"/>
        </w:rPr>
        <w:t xml:space="preserve">3. </w:t>
      </w:r>
      <w:r w:rsidR="00756B05" w:rsidRPr="008A6B1B">
        <w:rPr>
          <w:rFonts w:cs="Arial"/>
          <w:b/>
          <w:szCs w:val="24"/>
          <w:lang w:eastAsia="en-US"/>
        </w:rPr>
        <w:t>R</w:t>
      </w:r>
      <w:r w:rsidRPr="008A6B1B">
        <w:rPr>
          <w:rFonts w:cs="Arial"/>
          <w:b/>
          <w:szCs w:val="24"/>
          <w:lang w:eastAsia="en-US"/>
        </w:rPr>
        <w:t>esponsabilidad disciplinaria</w:t>
      </w:r>
      <w:r w:rsidR="00C93AB4">
        <w:rPr>
          <w:rFonts w:cs="Arial"/>
          <w:b/>
          <w:szCs w:val="24"/>
          <w:lang w:eastAsia="en-US"/>
        </w:rPr>
        <w:t xml:space="preserve"> </w:t>
      </w:r>
      <w:r w:rsidR="00C93AB4" w:rsidRPr="00C93AB4">
        <w:rPr>
          <w:rFonts w:cs="Arial"/>
          <w:b/>
          <w:szCs w:val="24"/>
          <w:highlight w:val="yellow"/>
          <w:lang w:eastAsia="en-US"/>
        </w:rPr>
        <w:t>(</w:t>
      </w:r>
      <w:hyperlink r:id="rId9" w:history="1">
        <w:r w:rsidR="00C93AB4" w:rsidRPr="00C93AB4">
          <w:rPr>
            <w:rStyle w:val="Hipervnculo"/>
            <w:rFonts w:cs="Arial"/>
            <w:b/>
            <w:szCs w:val="24"/>
            <w:highlight w:val="yellow"/>
            <w:lang w:eastAsia="en-US"/>
          </w:rPr>
          <w:t>https://bit.ly/33DyG10</w:t>
        </w:r>
      </w:hyperlink>
      <w:r w:rsidR="00C93AB4" w:rsidRPr="00C93AB4">
        <w:rPr>
          <w:rFonts w:cs="Arial"/>
          <w:b/>
          <w:szCs w:val="24"/>
          <w:highlight w:val="yellow"/>
          <w:lang w:eastAsia="en-US"/>
        </w:rPr>
        <w:t xml:space="preserve">  - IST_23136_00521)</w:t>
      </w:r>
    </w:p>
    <w:p w:rsidR="00C93AB4" w:rsidRPr="008A6B1B" w:rsidRDefault="00C93AB4" w:rsidP="00756B05">
      <w:pPr>
        <w:autoSpaceDE w:val="0"/>
        <w:autoSpaceDN w:val="0"/>
        <w:adjustRightInd w:val="0"/>
        <w:rPr>
          <w:rFonts w:cs="Arial"/>
          <w:b/>
          <w:szCs w:val="24"/>
          <w:lang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723900" cy="602285"/>
            <wp:effectExtent l="0" t="0" r="0" b="7620"/>
            <wp:docPr id="2" name="Imagen 2" descr="contract in the hands of money of an agreement. contract in hands of money of an agre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tract in the hands of money of an agreement. contract in hands of money of an agre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27" cy="60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1B" w:rsidRDefault="008A6B1B" w:rsidP="00756B05">
      <w:pPr>
        <w:autoSpaceDE w:val="0"/>
        <w:autoSpaceDN w:val="0"/>
        <w:adjustRightInd w:val="0"/>
        <w:rPr>
          <w:rFonts w:cs="Arial"/>
          <w:szCs w:val="24"/>
          <w:lang w:eastAsia="en-US"/>
        </w:rPr>
      </w:pPr>
    </w:p>
    <w:p w:rsidR="00CD5DC1" w:rsidRDefault="00756B05" w:rsidP="00CD5DC1">
      <w:pPr>
        <w:autoSpaceDE w:val="0"/>
        <w:autoSpaceDN w:val="0"/>
        <w:adjustRightInd w:val="0"/>
        <w:rPr>
          <w:rFonts w:cs="Arial"/>
          <w:szCs w:val="24"/>
          <w:lang w:eastAsia="en-US"/>
        </w:rPr>
      </w:pPr>
      <w:r w:rsidRPr="00756B05">
        <w:rPr>
          <w:rFonts w:cs="Arial"/>
          <w:szCs w:val="24"/>
          <w:lang w:eastAsia="en-US"/>
        </w:rPr>
        <w:t>Todo servidor público para salvaguardar la moralidad pública, transparencia, objetividad, legalidad, honradez, lealtad, igualdad, imparcialidad, celeridad, publicidad, economía, neutralidad, eficacia y eficiencia que debe observar en el desempeño de su empleo, cargo o función, ejercerá los derechos, cumplirá los deberes, respetará las prohibiciones y estará sometido al régimen de inhabilidades, incompatibilidades, impedimentos y conflictos de intereses, establecidos en la Constitución Política y en las leyes. Esto se encuentra regulado por la Ley 1952 del 28 de enero de 2019 –Código General Disciplinario. Esta potestad la ejerce la Procuraduría General de la Nación.</w:t>
      </w:r>
    </w:p>
    <w:p w:rsidR="002914D2" w:rsidRDefault="002914D2" w:rsidP="00CD5DC1">
      <w:pPr>
        <w:autoSpaceDE w:val="0"/>
        <w:autoSpaceDN w:val="0"/>
        <w:adjustRightInd w:val="0"/>
        <w:rPr>
          <w:rFonts w:cs="Arial"/>
          <w:szCs w:val="24"/>
        </w:rPr>
      </w:pPr>
    </w:p>
    <w:p w:rsidR="002914D2" w:rsidRDefault="002914D2" w:rsidP="00CD5DC1">
      <w:pPr>
        <w:autoSpaceDE w:val="0"/>
        <w:autoSpaceDN w:val="0"/>
        <w:adjustRightInd w:val="0"/>
        <w:rPr>
          <w:b/>
          <w:szCs w:val="24"/>
        </w:rPr>
      </w:pPr>
      <w:r w:rsidRPr="00943CE2">
        <w:rPr>
          <w:rFonts w:cs="Arial"/>
          <w:b/>
          <w:szCs w:val="24"/>
        </w:rPr>
        <w:t xml:space="preserve">4. </w:t>
      </w:r>
      <w:r w:rsidRPr="00943CE2">
        <w:rPr>
          <w:b/>
          <w:szCs w:val="24"/>
        </w:rPr>
        <w:t>La Ley 1952 del 28 de enero de 2019, Código General Disciplinario</w:t>
      </w:r>
      <w:r w:rsidR="00EA4987">
        <w:rPr>
          <w:b/>
          <w:szCs w:val="24"/>
        </w:rPr>
        <w:t xml:space="preserve"> </w:t>
      </w:r>
      <w:r w:rsidR="00EA4987" w:rsidRPr="00EA4987">
        <w:rPr>
          <w:b/>
          <w:szCs w:val="24"/>
          <w:highlight w:val="yellow"/>
        </w:rPr>
        <w:t>(</w:t>
      </w:r>
      <w:hyperlink r:id="rId11" w:history="1">
        <w:r w:rsidR="00EA4987" w:rsidRPr="00EA4987">
          <w:rPr>
            <w:rStyle w:val="Hipervnculo"/>
            <w:b/>
            <w:szCs w:val="24"/>
            <w:highlight w:val="yellow"/>
          </w:rPr>
          <w:t>https://bit.ly/39g4Ktb</w:t>
        </w:r>
      </w:hyperlink>
      <w:r w:rsidR="00EA4987" w:rsidRPr="00EA4987">
        <w:rPr>
          <w:b/>
          <w:szCs w:val="24"/>
          <w:highlight w:val="yellow"/>
        </w:rPr>
        <w:t xml:space="preserve"> - IST_19205_27200)</w:t>
      </w:r>
    </w:p>
    <w:p w:rsidR="00670B76" w:rsidRPr="00943CE2" w:rsidRDefault="00670B76" w:rsidP="00CD5DC1">
      <w:pPr>
        <w:autoSpaceDE w:val="0"/>
        <w:autoSpaceDN w:val="0"/>
        <w:adjustRightInd w:val="0"/>
        <w:rPr>
          <w:rFonts w:cs="Arial"/>
          <w:b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600075" cy="600075"/>
            <wp:effectExtent l="0" t="0" r="9525" b="9525"/>
            <wp:docPr id="3" name="Imagen 3" descr="law book icon vector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w book icon vector desig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A32" w:rsidRPr="0022731D" w:rsidRDefault="002914D2" w:rsidP="00AF7A32">
      <w:pPr>
        <w:pStyle w:val="Textocomentario"/>
        <w:rPr>
          <w:sz w:val="24"/>
          <w:szCs w:val="24"/>
        </w:rPr>
      </w:pPr>
      <w:r>
        <w:rPr>
          <w:rFonts w:cs="Arial"/>
          <w:sz w:val="24"/>
          <w:szCs w:val="24"/>
          <w:lang w:eastAsia="en-US"/>
        </w:rPr>
        <w:t>E</w:t>
      </w:r>
      <w:r w:rsidR="00AF7A32" w:rsidRPr="004272F0">
        <w:rPr>
          <w:rFonts w:cs="Arial"/>
          <w:sz w:val="24"/>
          <w:szCs w:val="24"/>
          <w:lang w:eastAsia="en-US"/>
        </w:rPr>
        <w:t xml:space="preserve">stablece los derechos, deberes, prohibiciones, incompatibilidades, impedimentos, inhabilidades y conflicto de intereses del servidor público; las faltas y sanciones disciplinarias a las cuales debe responder en caso de culpa o dolo. Cabe destacar </w:t>
      </w:r>
      <w:r w:rsidR="00AF7A32" w:rsidRPr="004272F0">
        <w:rPr>
          <w:sz w:val="24"/>
          <w:szCs w:val="24"/>
        </w:rPr>
        <w:t xml:space="preserve">que dicho código aún no se encuentra totalmente vigente, pues a pesar de que en </w:t>
      </w:r>
      <w:r w:rsidR="00AF7A32" w:rsidRPr="004272F0">
        <w:rPr>
          <w:sz w:val="24"/>
          <w:szCs w:val="24"/>
        </w:rPr>
        <w:lastRenderedPageBreak/>
        <w:t>dicha norma se estableció una fecha de entrada en vigencia, a partir de la Ley 1955 de 2019 en su artículo 140 estableció que dicha norma entrará en vigencia a partir del 1 de julio de 2021.</w:t>
      </w:r>
    </w:p>
    <w:p w:rsidR="00AF7A32" w:rsidRPr="00AF7A32" w:rsidRDefault="00AF7A32" w:rsidP="00AF7A32">
      <w:pPr>
        <w:ind w:left="360"/>
      </w:pPr>
    </w:p>
    <w:p w:rsidR="00AF7A32" w:rsidRPr="00AF7A32" w:rsidRDefault="00AF7A32" w:rsidP="00AF7A32">
      <w:pPr>
        <w:spacing w:after="160" w:line="259" w:lineRule="auto"/>
        <w:rPr>
          <w:lang w:val="es-MX"/>
        </w:rPr>
      </w:pPr>
    </w:p>
    <w:p w:rsidR="002E212D" w:rsidRPr="00AF7A32" w:rsidRDefault="002E212D">
      <w:pPr>
        <w:rPr>
          <w:lang w:val="es-MX"/>
        </w:rPr>
      </w:pPr>
    </w:p>
    <w:sectPr w:rsidR="002E212D" w:rsidRPr="00AF7A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6DFD"/>
    <w:multiLevelType w:val="hybridMultilevel"/>
    <w:tmpl w:val="78803A92"/>
    <w:lvl w:ilvl="0" w:tplc="5260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23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406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D29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6D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200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822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65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4F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933823"/>
    <w:multiLevelType w:val="hybridMultilevel"/>
    <w:tmpl w:val="C944AD8C"/>
    <w:lvl w:ilvl="0" w:tplc="08562E00">
      <w:start w:val="3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32"/>
    <w:rsid w:val="0014378B"/>
    <w:rsid w:val="00271B61"/>
    <w:rsid w:val="002914D2"/>
    <w:rsid w:val="002E212D"/>
    <w:rsid w:val="0035102A"/>
    <w:rsid w:val="003C583F"/>
    <w:rsid w:val="00491812"/>
    <w:rsid w:val="00550C86"/>
    <w:rsid w:val="00670B76"/>
    <w:rsid w:val="006E2F3E"/>
    <w:rsid w:val="00756B05"/>
    <w:rsid w:val="00773CA1"/>
    <w:rsid w:val="007A1CB6"/>
    <w:rsid w:val="007A6347"/>
    <w:rsid w:val="0081472E"/>
    <w:rsid w:val="008A6B1B"/>
    <w:rsid w:val="0091028F"/>
    <w:rsid w:val="00943CE2"/>
    <w:rsid w:val="00A36ADD"/>
    <w:rsid w:val="00AF7A32"/>
    <w:rsid w:val="00B20B2E"/>
    <w:rsid w:val="00C9167F"/>
    <w:rsid w:val="00C93AB4"/>
    <w:rsid w:val="00CD5DC1"/>
    <w:rsid w:val="00CE0369"/>
    <w:rsid w:val="00CE1462"/>
    <w:rsid w:val="00DB01D0"/>
    <w:rsid w:val="00E26213"/>
    <w:rsid w:val="00E92D24"/>
    <w:rsid w:val="00EA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A262"/>
  <w15:chartTrackingRefBased/>
  <w15:docId w15:val="{15CCF5F4-5B55-4157-B71A-3CCFA548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A3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A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7A3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AF7A3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7A32"/>
    <w:rPr>
      <w:rFonts w:ascii="Arial" w:eastAsia="Times New Roman" w:hAnsi="Arial" w:cs="Times New Roman"/>
      <w:sz w:val="20"/>
      <w:szCs w:val="2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36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Wx8zq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Wx8zqT" TargetMode="External"/><Relationship Id="rId11" Type="http://schemas.openxmlformats.org/officeDocument/2006/relationships/hyperlink" Target="https://bit.ly/39g4Ktb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bit.ly/33DyG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25</cp:revision>
  <dcterms:created xsi:type="dcterms:W3CDTF">2020-03-22T01:45:00Z</dcterms:created>
  <dcterms:modified xsi:type="dcterms:W3CDTF">2020-09-21T22:36:00Z</dcterms:modified>
</cp:coreProperties>
</file>