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5E12B" w14:textId="68C24D32" w:rsidR="005B695A" w:rsidRPr="000476B1" w:rsidRDefault="00486799" w:rsidP="002F5437">
      <w:pPr>
        <w:rPr>
          <w:rFonts w:cs="Arial"/>
          <w:szCs w:val="24"/>
        </w:rPr>
      </w:pPr>
      <w:r w:rsidRPr="000476B1">
        <w:rPr>
          <w:rFonts w:cs="Arial"/>
          <w:b/>
          <w:szCs w:val="24"/>
        </w:rPr>
        <w:t>Título:</w:t>
      </w:r>
      <w:r w:rsidRPr="000476B1">
        <w:rPr>
          <w:rFonts w:cs="Arial"/>
          <w:szCs w:val="24"/>
        </w:rPr>
        <w:t xml:space="preserve"> </w:t>
      </w:r>
      <w:r w:rsidR="00426049">
        <w:rPr>
          <w:rFonts w:cs="Arial"/>
          <w:szCs w:val="24"/>
        </w:rPr>
        <w:t>Funciones marginales y elasticidades</w:t>
      </w:r>
    </w:p>
    <w:p w14:paraId="27FC1F17" w14:textId="721832BE" w:rsidR="00486799" w:rsidRPr="000476B1" w:rsidRDefault="00486799" w:rsidP="002F5437">
      <w:pPr>
        <w:rPr>
          <w:rFonts w:cs="Arial"/>
          <w:szCs w:val="24"/>
        </w:rPr>
      </w:pPr>
      <w:r w:rsidRPr="000476B1">
        <w:rPr>
          <w:rFonts w:cs="Arial"/>
          <w:b/>
          <w:szCs w:val="24"/>
        </w:rPr>
        <w:t>Formato:</w:t>
      </w:r>
      <w:r w:rsidRPr="000476B1">
        <w:rPr>
          <w:rFonts w:cs="Arial"/>
          <w:szCs w:val="24"/>
        </w:rPr>
        <w:t xml:space="preserve"> </w:t>
      </w:r>
      <w:r w:rsidR="00ED404C" w:rsidRPr="000476B1">
        <w:rPr>
          <w:rFonts w:cs="Arial"/>
          <w:szCs w:val="24"/>
        </w:rPr>
        <w:t>Animación</w:t>
      </w:r>
    </w:p>
    <w:p w14:paraId="0E41817C" w14:textId="5F8A8436" w:rsidR="00486799" w:rsidRPr="000476B1" w:rsidRDefault="00486799" w:rsidP="002F5437">
      <w:pPr>
        <w:rPr>
          <w:rFonts w:cs="Arial"/>
          <w:szCs w:val="24"/>
        </w:rPr>
      </w:pPr>
      <w:r w:rsidRPr="000476B1">
        <w:rPr>
          <w:rFonts w:cs="Arial"/>
          <w:b/>
          <w:szCs w:val="24"/>
        </w:rPr>
        <w:t>Autor:</w:t>
      </w:r>
      <w:r w:rsidR="007A1D5F" w:rsidRPr="000476B1">
        <w:rPr>
          <w:rFonts w:cs="Arial"/>
          <w:szCs w:val="24"/>
        </w:rPr>
        <w:t xml:space="preserve"> </w:t>
      </w:r>
      <w:r w:rsidR="00426049" w:rsidRPr="00426049">
        <w:rPr>
          <w:rFonts w:cs="Arial"/>
          <w:szCs w:val="24"/>
        </w:rPr>
        <w:t>Jorge Arturo León Rivera</w:t>
      </w:r>
    </w:p>
    <w:p w14:paraId="02113A82" w14:textId="77777777" w:rsidR="00486799" w:rsidRPr="000476B1" w:rsidRDefault="00486799" w:rsidP="002F5437">
      <w:pPr>
        <w:rPr>
          <w:rFonts w:cs="Arial"/>
          <w:szCs w:val="24"/>
        </w:rPr>
      </w:pPr>
      <w:r w:rsidRPr="000476B1">
        <w:rPr>
          <w:rFonts w:cs="Arial"/>
          <w:b/>
          <w:szCs w:val="24"/>
        </w:rPr>
        <w:t>Libreto:</w:t>
      </w:r>
      <w:r w:rsidRPr="000476B1">
        <w:rPr>
          <w:rFonts w:cs="Arial"/>
          <w:szCs w:val="24"/>
        </w:rPr>
        <w:t xml:space="preserve"> Edgar Andrés Castro Peña</w:t>
      </w:r>
    </w:p>
    <w:p w14:paraId="69FE3323" w14:textId="69913ADE" w:rsidR="00486799" w:rsidRPr="000476B1" w:rsidRDefault="00486799" w:rsidP="002F5437">
      <w:pPr>
        <w:rPr>
          <w:rFonts w:cs="Arial"/>
          <w:szCs w:val="24"/>
        </w:rPr>
      </w:pPr>
      <w:r w:rsidRPr="000476B1">
        <w:rPr>
          <w:rFonts w:cs="Arial"/>
          <w:b/>
          <w:szCs w:val="24"/>
        </w:rPr>
        <w:t>Realizador:</w:t>
      </w:r>
      <w:r w:rsidRPr="000476B1">
        <w:rPr>
          <w:rFonts w:cs="Arial"/>
          <w:szCs w:val="24"/>
        </w:rPr>
        <w:t xml:space="preserve"> </w:t>
      </w:r>
      <w:r w:rsidR="00ED404C" w:rsidRPr="000476B1">
        <w:rPr>
          <w:rFonts w:cs="Arial"/>
          <w:szCs w:val="24"/>
        </w:rPr>
        <w:t>Natalia Rivera</w:t>
      </w:r>
    </w:p>
    <w:p w14:paraId="57FCC279" w14:textId="5F983349" w:rsidR="00486799" w:rsidRPr="000476B1" w:rsidRDefault="00486799" w:rsidP="002F5437">
      <w:pPr>
        <w:rPr>
          <w:rFonts w:cs="Arial"/>
          <w:szCs w:val="24"/>
        </w:rPr>
      </w:pPr>
      <w:r w:rsidRPr="000476B1">
        <w:rPr>
          <w:rFonts w:cs="Arial"/>
          <w:b/>
          <w:szCs w:val="24"/>
        </w:rPr>
        <w:t>Asignatura:</w:t>
      </w:r>
      <w:r w:rsidRPr="000476B1">
        <w:rPr>
          <w:rFonts w:cs="Arial"/>
          <w:szCs w:val="24"/>
        </w:rPr>
        <w:t xml:space="preserve"> </w:t>
      </w:r>
      <w:r w:rsidR="00426049">
        <w:rPr>
          <w:rFonts w:cs="Arial"/>
          <w:szCs w:val="24"/>
        </w:rPr>
        <w:t>Matemáticas II</w:t>
      </w:r>
    </w:p>
    <w:p w14:paraId="16BD76FF" w14:textId="5C1CF02F" w:rsidR="00486799" w:rsidRPr="000476B1" w:rsidRDefault="00486799" w:rsidP="002F5437">
      <w:pPr>
        <w:rPr>
          <w:rFonts w:cs="Arial"/>
          <w:szCs w:val="24"/>
        </w:rPr>
      </w:pPr>
      <w:r w:rsidRPr="000476B1">
        <w:rPr>
          <w:rFonts w:cs="Arial"/>
          <w:b/>
          <w:szCs w:val="24"/>
        </w:rPr>
        <w:t>Programa:</w:t>
      </w:r>
      <w:r w:rsidRPr="000476B1">
        <w:rPr>
          <w:rFonts w:cs="Arial"/>
          <w:szCs w:val="24"/>
        </w:rPr>
        <w:t xml:space="preserve"> </w:t>
      </w:r>
      <w:r w:rsidR="00426049">
        <w:rPr>
          <w:rFonts w:cs="Arial"/>
          <w:szCs w:val="24"/>
        </w:rPr>
        <w:t>Administración de Empresas</w:t>
      </w:r>
    </w:p>
    <w:p w14:paraId="27D0EBE8" w14:textId="5D371B5B" w:rsidR="00486799" w:rsidRPr="000476B1" w:rsidRDefault="00004293" w:rsidP="002F5437">
      <w:pPr>
        <w:rPr>
          <w:rFonts w:cs="Arial"/>
          <w:szCs w:val="24"/>
        </w:rPr>
      </w:pPr>
      <w:r w:rsidRPr="000476B1">
        <w:rPr>
          <w:rFonts w:cs="Arial"/>
          <w:b/>
          <w:szCs w:val="24"/>
        </w:rPr>
        <w:t>Unidad:</w:t>
      </w:r>
      <w:r w:rsidR="00937C75" w:rsidRPr="000476B1">
        <w:rPr>
          <w:rFonts w:cs="Arial"/>
          <w:szCs w:val="24"/>
        </w:rPr>
        <w:t xml:space="preserve"> </w:t>
      </w:r>
      <w:r w:rsidR="00426049">
        <w:rPr>
          <w:rFonts w:cs="Arial"/>
          <w:szCs w:val="24"/>
        </w:rPr>
        <w:t>4</w:t>
      </w:r>
    </w:p>
    <w:p w14:paraId="2E6C0897" w14:textId="26215B8F" w:rsidR="00004293" w:rsidRPr="000476B1" w:rsidRDefault="00004293" w:rsidP="002F5437">
      <w:pPr>
        <w:rPr>
          <w:rFonts w:cs="Arial"/>
          <w:szCs w:val="24"/>
        </w:rPr>
      </w:pPr>
      <w:r w:rsidRPr="000476B1">
        <w:rPr>
          <w:rFonts w:cs="Arial"/>
          <w:b/>
          <w:szCs w:val="24"/>
        </w:rPr>
        <w:t>Pantalla:</w:t>
      </w:r>
      <w:r w:rsidRPr="000476B1">
        <w:rPr>
          <w:rFonts w:cs="Arial"/>
          <w:szCs w:val="24"/>
        </w:rPr>
        <w:t xml:space="preserve"> </w:t>
      </w:r>
      <w:r w:rsidR="00426049">
        <w:rPr>
          <w:rFonts w:cs="Arial"/>
          <w:szCs w:val="24"/>
        </w:rPr>
        <w:t>5</w:t>
      </w:r>
    </w:p>
    <w:p w14:paraId="14F6E406" w14:textId="77777777" w:rsidR="00486799" w:rsidRPr="000476B1" w:rsidRDefault="00486799" w:rsidP="002F5437">
      <w:pPr>
        <w:rPr>
          <w:rFonts w:cs="Arial"/>
          <w:szCs w:val="24"/>
        </w:rPr>
      </w:pP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1497"/>
        <w:gridCol w:w="5869"/>
        <w:gridCol w:w="5954"/>
      </w:tblGrid>
      <w:tr w:rsidR="001061FA" w:rsidRPr="000476B1" w14:paraId="34BE36DF" w14:textId="77777777" w:rsidTr="007B7551">
        <w:tc>
          <w:tcPr>
            <w:tcW w:w="1497" w:type="dxa"/>
            <w:vAlign w:val="center"/>
          </w:tcPr>
          <w:p w14:paraId="7E282E8B" w14:textId="27DEDDAF" w:rsidR="00CE6DFA" w:rsidRPr="001061FA" w:rsidRDefault="00CE6DFA" w:rsidP="002F5437">
            <w:pPr>
              <w:jc w:val="center"/>
              <w:rPr>
                <w:rFonts w:cs="Arial"/>
                <w:b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b/>
                <w:color w:val="385623" w:themeColor="accent6" w:themeShade="80"/>
                <w:sz w:val="18"/>
                <w:szCs w:val="18"/>
              </w:rPr>
              <w:t>Imagen</w:t>
            </w:r>
          </w:p>
        </w:tc>
        <w:tc>
          <w:tcPr>
            <w:tcW w:w="5869" w:type="dxa"/>
            <w:vAlign w:val="center"/>
          </w:tcPr>
          <w:p w14:paraId="668E745E" w14:textId="4364FF6F" w:rsidR="00CE6DFA" w:rsidRPr="001061FA" w:rsidRDefault="00CE6DFA" w:rsidP="002F5437">
            <w:pPr>
              <w:jc w:val="center"/>
              <w:rPr>
                <w:rFonts w:cs="Arial"/>
                <w:b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b/>
                <w:color w:val="385623" w:themeColor="accent6" w:themeShade="80"/>
                <w:sz w:val="18"/>
                <w:szCs w:val="18"/>
              </w:rPr>
              <w:t>Locución</w:t>
            </w:r>
          </w:p>
        </w:tc>
        <w:tc>
          <w:tcPr>
            <w:tcW w:w="5954" w:type="dxa"/>
            <w:vAlign w:val="center"/>
          </w:tcPr>
          <w:p w14:paraId="02132D51" w14:textId="1321C484" w:rsidR="00CE6DFA" w:rsidRPr="001061FA" w:rsidRDefault="00CE6DFA" w:rsidP="002F5437">
            <w:pPr>
              <w:jc w:val="center"/>
              <w:rPr>
                <w:rFonts w:cs="Arial"/>
                <w:b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b/>
                <w:color w:val="385623" w:themeColor="accent6" w:themeShade="80"/>
                <w:sz w:val="18"/>
                <w:szCs w:val="18"/>
              </w:rPr>
              <w:t>Imagen o subtítulos</w:t>
            </w:r>
          </w:p>
        </w:tc>
      </w:tr>
      <w:tr w:rsidR="001061FA" w:rsidRPr="000476B1" w14:paraId="741EA36C" w14:textId="77777777" w:rsidTr="007B7551">
        <w:tc>
          <w:tcPr>
            <w:tcW w:w="1497" w:type="dxa"/>
            <w:vAlign w:val="center"/>
          </w:tcPr>
          <w:p w14:paraId="004BD692" w14:textId="23711061" w:rsidR="003A28C4" w:rsidRPr="001061FA" w:rsidRDefault="00E6049D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color w:val="385623" w:themeColor="accent6" w:themeShade="80"/>
                <w:sz w:val="18"/>
                <w:szCs w:val="18"/>
              </w:rPr>
              <w:t>Cabezote</w:t>
            </w:r>
          </w:p>
        </w:tc>
        <w:tc>
          <w:tcPr>
            <w:tcW w:w="5869" w:type="dxa"/>
            <w:vAlign w:val="center"/>
          </w:tcPr>
          <w:p w14:paraId="78734314" w14:textId="7F92D19C" w:rsidR="003A28C4" w:rsidRPr="001061FA" w:rsidRDefault="00426049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color w:val="385623" w:themeColor="accent6" w:themeShade="80"/>
                <w:sz w:val="18"/>
                <w:szCs w:val="18"/>
              </w:rPr>
              <w:t>En este video veremos dos ejemplos de las dos principales aplicaciones de las derivadas parciales</w:t>
            </w:r>
          </w:p>
        </w:tc>
        <w:tc>
          <w:tcPr>
            <w:tcW w:w="5954" w:type="dxa"/>
            <w:vAlign w:val="center"/>
          </w:tcPr>
          <w:p w14:paraId="78E13E44" w14:textId="711C0C61" w:rsidR="003A28C4" w:rsidRPr="001061FA" w:rsidRDefault="00426049" w:rsidP="001061FA">
            <w:pPr>
              <w:jc w:val="center"/>
              <w:rPr>
                <w:rFonts w:cs="Arial"/>
                <w:b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b/>
                <w:color w:val="385623" w:themeColor="accent6" w:themeShade="80"/>
                <w:sz w:val="18"/>
                <w:szCs w:val="18"/>
              </w:rPr>
              <w:t>Funciones marginales y elasticidades</w:t>
            </w:r>
          </w:p>
        </w:tc>
      </w:tr>
      <w:tr w:rsidR="001061FA" w:rsidRPr="000476B1" w14:paraId="1036F843" w14:textId="77777777" w:rsidTr="007B7551">
        <w:tc>
          <w:tcPr>
            <w:tcW w:w="1497" w:type="dxa"/>
            <w:vAlign w:val="center"/>
          </w:tcPr>
          <w:p w14:paraId="567055A7" w14:textId="3E803E5D" w:rsidR="003A28C4" w:rsidRPr="001061FA" w:rsidRDefault="00426049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color w:val="385623" w:themeColor="accent6" w:themeShade="80"/>
                <w:sz w:val="18"/>
                <w:szCs w:val="18"/>
              </w:rPr>
              <w:t>Solo el texto en pantalla</w:t>
            </w:r>
          </w:p>
        </w:tc>
        <w:tc>
          <w:tcPr>
            <w:tcW w:w="5869" w:type="dxa"/>
            <w:vAlign w:val="center"/>
          </w:tcPr>
          <w:p w14:paraId="2E92C568" w14:textId="31FD4E85" w:rsidR="003A28C4" w:rsidRPr="001061FA" w:rsidRDefault="003A28C4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58E556D1" w14:textId="77777777" w:rsidR="00E6049D" w:rsidRPr="001061FA" w:rsidRDefault="00426049" w:rsidP="001061FA">
            <w:pPr>
              <w:jc w:val="center"/>
              <w:rPr>
                <w:rFonts w:cs="Arial"/>
                <w:b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b/>
                <w:color w:val="385623" w:themeColor="accent6" w:themeShade="80"/>
                <w:sz w:val="18"/>
                <w:szCs w:val="18"/>
              </w:rPr>
              <w:t>Funciones marginales</w:t>
            </w:r>
          </w:p>
          <w:p w14:paraId="4FABE32C" w14:textId="07A9C780" w:rsidR="00426049" w:rsidRPr="001061FA" w:rsidRDefault="00426049" w:rsidP="001061FA">
            <w:pPr>
              <w:jc w:val="center"/>
              <w:rPr>
                <w:rFonts w:cs="Arial"/>
                <w:b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b/>
                <w:color w:val="385623" w:themeColor="accent6" w:themeShade="80"/>
                <w:sz w:val="18"/>
                <w:szCs w:val="18"/>
              </w:rPr>
              <w:t>Ejemplo #1</w:t>
            </w:r>
          </w:p>
        </w:tc>
      </w:tr>
      <w:tr w:rsidR="001061FA" w:rsidRPr="000476B1" w14:paraId="3046DDB9" w14:textId="77777777" w:rsidTr="007B7551">
        <w:tc>
          <w:tcPr>
            <w:tcW w:w="1497" w:type="dxa"/>
            <w:vAlign w:val="center"/>
          </w:tcPr>
          <w:p w14:paraId="639A5E7D" w14:textId="0988D74B" w:rsidR="00981583" w:rsidRPr="001061FA" w:rsidRDefault="00426049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color w:val="385623" w:themeColor="accent6" w:themeShade="80"/>
                <w:sz w:val="18"/>
                <w:szCs w:val="18"/>
              </w:rPr>
              <w:t>Animar a una chica (Juana) con una taza de chocolate en una mano y un pan en la otra mano</w:t>
            </w:r>
          </w:p>
        </w:tc>
        <w:tc>
          <w:tcPr>
            <w:tcW w:w="5869" w:type="dxa"/>
            <w:vAlign w:val="center"/>
          </w:tcPr>
          <w:p w14:paraId="3427C67D" w14:textId="090F464C" w:rsidR="00981583" w:rsidRPr="001061FA" w:rsidRDefault="00426049" w:rsidP="001061FA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Suponga que </w:t>
            </w:r>
            <w:r w:rsidR="001061FA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equis </w:t>
            </w:r>
            <w:r w:rsidRPr="001061FA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y </w:t>
            </w:r>
            <w:r w:rsidR="001061FA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ye</w:t>
            </w:r>
            <w:r w:rsidRPr="001061FA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 son las cantidades de dos productos que Juana consume al mes, por ejemplo: pan y chocolate.</w:t>
            </w:r>
          </w:p>
        </w:tc>
        <w:tc>
          <w:tcPr>
            <w:tcW w:w="5954" w:type="dxa"/>
            <w:vAlign w:val="center"/>
          </w:tcPr>
          <w:p w14:paraId="74F68485" w14:textId="48F45198" w:rsidR="00981583" w:rsidRPr="001061FA" w:rsidRDefault="00981583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</w:tr>
      <w:tr w:rsidR="001061FA" w:rsidRPr="000476B1" w14:paraId="26F7A30C" w14:textId="77777777" w:rsidTr="007B7551">
        <w:tc>
          <w:tcPr>
            <w:tcW w:w="1497" w:type="dxa"/>
            <w:vAlign w:val="center"/>
          </w:tcPr>
          <w:p w14:paraId="2EFBC403" w14:textId="18F1A663" w:rsidR="003A28C4" w:rsidRPr="001061FA" w:rsidRDefault="00426049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cs="Arial"/>
                <w:color w:val="385623" w:themeColor="accent6" w:themeShade="80"/>
                <w:sz w:val="18"/>
                <w:szCs w:val="18"/>
              </w:rPr>
              <w:t>Mostrar el texto en pantalla</w:t>
            </w:r>
          </w:p>
        </w:tc>
        <w:tc>
          <w:tcPr>
            <w:tcW w:w="5869" w:type="dxa"/>
            <w:vAlign w:val="center"/>
          </w:tcPr>
          <w:p w14:paraId="0B9B6CDA" w14:textId="1906D1AC" w:rsidR="003A28C4" w:rsidRPr="001061FA" w:rsidRDefault="00426049" w:rsidP="007B3748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1061FA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Suponga además que Juana tiene una función de utilidad del consumo de pan y chocolate definida por:</w:t>
            </w:r>
            <w:r w:rsidR="007B3748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 u sub equis ye igual a equis a la dos quintos por ye a la dos tercios.</w:t>
            </w:r>
          </w:p>
        </w:tc>
        <w:tc>
          <w:tcPr>
            <w:tcW w:w="5954" w:type="dxa"/>
            <w:vAlign w:val="center"/>
          </w:tcPr>
          <w:p w14:paraId="64AB9ECA" w14:textId="1E9EFF3D" w:rsidR="005259C2" w:rsidRPr="001061FA" w:rsidRDefault="00426049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m:oMath>
              <m:r>
                <w:rPr>
                  <w:rFonts w:ascii="Cambria Math" w:eastAsiaTheme="minorEastAsia" w:hAnsi="Cambria Math" w:cs="Arial"/>
                  <w:color w:val="385623" w:themeColor="accent6" w:themeShade="80"/>
                  <w:sz w:val="18"/>
                  <w:szCs w:val="18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color w:val="385623" w:themeColor="accent6" w:themeShade="8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color w:val="385623" w:themeColor="accent6" w:themeShade="80"/>
                      <w:sz w:val="18"/>
                      <w:szCs w:val="18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 w:cs="Arial"/>
                  <w:color w:val="385623" w:themeColor="accent6" w:themeShade="80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color w:val="385623" w:themeColor="accent6" w:themeShade="8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color w:val="385623" w:themeColor="accent6" w:themeShade="80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color w:val="385623" w:themeColor="accent6" w:themeShade="80"/>
                      <w:sz w:val="18"/>
                      <w:szCs w:val="18"/>
                    </w:rPr>
                    <m:t>2/5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color w:val="385623" w:themeColor="accent6" w:themeShade="8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color w:val="385623" w:themeColor="accent6" w:themeShade="80"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color w:val="385623" w:themeColor="accent6" w:themeShade="80"/>
                      <w:sz w:val="18"/>
                      <w:szCs w:val="18"/>
                    </w:rPr>
                    <m:t>2/3</m:t>
                  </m:r>
                </m:sup>
              </m:sSup>
            </m:oMath>
            <w:r w:rsidRPr="001061FA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.</w:t>
            </w:r>
          </w:p>
        </w:tc>
      </w:tr>
      <w:tr w:rsidR="001061FA" w:rsidRPr="000476B1" w14:paraId="5E39897A" w14:textId="77777777" w:rsidTr="007B7551">
        <w:tc>
          <w:tcPr>
            <w:tcW w:w="1497" w:type="dxa"/>
            <w:vAlign w:val="center"/>
          </w:tcPr>
          <w:p w14:paraId="70B0D617" w14:textId="341AF46E" w:rsidR="003A28C4" w:rsidRPr="00C2008D" w:rsidRDefault="00426049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cs="Arial"/>
                <w:color w:val="385623" w:themeColor="accent6" w:themeShade="80"/>
                <w:sz w:val="18"/>
                <w:szCs w:val="18"/>
              </w:rPr>
              <w:t>Mostrar a Juana solo con el pan y en un recuadro el texto</w:t>
            </w:r>
          </w:p>
        </w:tc>
        <w:tc>
          <w:tcPr>
            <w:tcW w:w="5869" w:type="dxa"/>
            <w:vAlign w:val="center"/>
          </w:tcPr>
          <w:p w14:paraId="4B122B8A" w14:textId="78745F93" w:rsidR="003A28C4" w:rsidRPr="00C2008D" w:rsidRDefault="00426049" w:rsidP="007B3748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La utilidad marginal para el pan está dada por</w:t>
            </w:r>
            <w:r w:rsidR="007B3748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 u sub equis</w:t>
            </w:r>
            <w:r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. Esta representa el incremento en el nivel de satisfacción que le produce a Juana consumir un pan más al mes.</w:t>
            </w:r>
          </w:p>
        </w:tc>
        <w:tc>
          <w:tcPr>
            <w:tcW w:w="5954" w:type="dxa"/>
            <w:vAlign w:val="center"/>
          </w:tcPr>
          <w:p w14:paraId="131D184A" w14:textId="581F8044" w:rsidR="005259C2" w:rsidRPr="00C2008D" w:rsidRDefault="005259C2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</w:tr>
      <w:tr w:rsidR="001061FA" w:rsidRPr="000476B1" w14:paraId="1B646708" w14:textId="77777777" w:rsidTr="007B7551">
        <w:tc>
          <w:tcPr>
            <w:tcW w:w="1497" w:type="dxa"/>
            <w:vAlign w:val="center"/>
          </w:tcPr>
          <w:p w14:paraId="0B7EC960" w14:textId="51502F45" w:rsidR="008B1C24" w:rsidRPr="00C2008D" w:rsidRDefault="00426049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cs="Arial"/>
                <w:color w:val="385623" w:themeColor="accent6" w:themeShade="80"/>
                <w:sz w:val="18"/>
                <w:szCs w:val="18"/>
              </w:rPr>
              <w:t>Mostrar 40 panes y 25 tazas de café</w:t>
            </w:r>
          </w:p>
        </w:tc>
        <w:tc>
          <w:tcPr>
            <w:tcW w:w="5869" w:type="dxa"/>
            <w:vAlign w:val="center"/>
          </w:tcPr>
          <w:p w14:paraId="1A002B77" w14:textId="6E99CC6B" w:rsidR="008B1C24" w:rsidRPr="00C2008D" w:rsidRDefault="00426049" w:rsidP="00426049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Así pues, si suponemos un nivel de consumo de 40 panes y 25 tazas de chocolate al mes,</w:t>
            </w:r>
          </w:p>
        </w:tc>
        <w:tc>
          <w:tcPr>
            <w:tcW w:w="5954" w:type="dxa"/>
            <w:vAlign w:val="center"/>
          </w:tcPr>
          <w:p w14:paraId="13902191" w14:textId="393CC176" w:rsidR="008B1C24" w:rsidRPr="00C2008D" w:rsidRDefault="008B1C24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</w:tr>
      <w:tr w:rsidR="001061FA" w:rsidRPr="000476B1" w14:paraId="63D4792B" w14:textId="77777777" w:rsidTr="007B7551">
        <w:trPr>
          <w:trHeight w:val="232"/>
        </w:trPr>
        <w:tc>
          <w:tcPr>
            <w:tcW w:w="1497" w:type="dxa"/>
            <w:vAlign w:val="center"/>
          </w:tcPr>
          <w:p w14:paraId="0C82ABCB" w14:textId="287294C5" w:rsidR="003A28C4" w:rsidRPr="00C2008D" w:rsidRDefault="00426049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cs="Arial"/>
                <w:color w:val="385623" w:themeColor="accent6" w:themeShade="80"/>
                <w:sz w:val="18"/>
                <w:szCs w:val="18"/>
              </w:rPr>
              <w:t xml:space="preserve">Mostrar el texto en pantalla y dejarlo por cinco segundos después que </w:t>
            </w:r>
            <w:r w:rsidRPr="00C2008D">
              <w:rPr>
                <w:rFonts w:cs="Arial"/>
                <w:color w:val="385623" w:themeColor="accent6" w:themeShade="80"/>
                <w:sz w:val="18"/>
                <w:szCs w:val="18"/>
              </w:rPr>
              <w:lastRenderedPageBreak/>
              <w:t>termine el locutor</w:t>
            </w:r>
          </w:p>
        </w:tc>
        <w:tc>
          <w:tcPr>
            <w:tcW w:w="5869" w:type="dxa"/>
            <w:vAlign w:val="center"/>
          </w:tcPr>
          <w:p w14:paraId="0C053443" w14:textId="6786FF17" w:rsidR="003A28C4" w:rsidRPr="00C2008D" w:rsidRDefault="00426049" w:rsidP="00C2008D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lastRenderedPageBreak/>
              <w:t>la utilidad marginal para el pan corresponde a</w:t>
            </w:r>
            <w:r w:rsidR="001061FA"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 cero punto</w:t>
            </w:r>
            <w:r w:rsidR="00C2008D"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 tres.</w:t>
            </w:r>
          </w:p>
        </w:tc>
        <w:tc>
          <w:tcPr>
            <w:tcW w:w="5954" w:type="dxa"/>
            <w:vAlign w:val="center"/>
          </w:tcPr>
          <w:p w14:paraId="387709CF" w14:textId="77777777" w:rsidR="00EB6ED3" w:rsidRPr="00C2008D" w:rsidRDefault="00475E3C" w:rsidP="00EB6ED3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x, y</m:t>
                    </m:r>
                  </m:e>
                </m:d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-3/5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2/3</m:t>
                    </m:r>
                  </m:sup>
                </m:sSup>
              </m:oMath>
            </m:oMathPara>
          </w:p>
          <w:p w14:paraId="3EB29394" w14:textId="78BC8BE3" w:rsidR="005259C2" w:rsidRPr="00C2008D" w:rsidRDefault="00475E3C" w:rsidP="00A6600F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40, 25</m:t>
                    </m:r>
                  </m:e>
                </m:d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40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-3/5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25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2/3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≈0.3739</m:t>
                </m:r>
              </m:oMath>
            </m:oMathPara>
          </w:p>
        </w:tc>
      </w:tr>
      <w:tr w:rsidR="001061FA" w:rsidRPr="000476B1" w14:paraId="58482C14" w14:textId="77777777" w:rsidTr="007B7551">
        <w:trPr>
          <w:trHeight w:val="232"/>
        </w:trPr>
        <w:tc>
          <w:tcPr>
            <w:tcW w:w="1497" w:type="dxa"/>
            <w:vAlign w:val="center"/>
          </w:tcPr>
          <w:p w14:paraId="71D98CB5" w14:textId="203F11B5" w:rsidR="008B1C24" w:rsidRPr="00C2008D" w:rsidRDefault="001061FA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cs="Arial"/>
                <w:color w:val="385623" w:themeColor="accent6" w:themeShade="80"/>
                <w:sz w:val="18"/>
                <w:szCs w:val="18"/>
              </w:rPr>
              <w:lastRenderedPageBreak/>
              <w:t>Mostrar a Juana solo con el pan y en un recuadro el texto</w:t>
            </w:r>
          </w:p>
        </w:tc>
        <w:tc>
          <w:tcPr>
            <w:tcW w:w="5869" w:type="dxa"/>
            <w:vAlign w:val="center"/>
          </w:tcPr>
          <w:p w14:paraId="41F7ED7F" w14:textId="00C0C99A" w:rsidR="008B1C24" w:rsidRPr="00C2008D" w:rsidRDefault="001061FA" w:rsidP="00C2008D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Lo que significa que si consume un pan más al mes, es decir 41, tendrá un incremento en su nivel de utilidad de</w:t>
            </w:r>
            <w:r w:rsidR="00C2008D"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 cero punto tres</w:t>
            </w:r>
            <w:r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, manteniendo su nivel de consumo de tazas de chocolate constante.</w:t>
            </w:r>
          </w:p>
        </w:tc>
        <w:tc>
          <w:tcPr>
            <w:tcW w:w="5954" w:type="dxa"/>
            <w:vAlign w:val="center"/>
          </w:tcPr>
          <w:p w14:paraId="0421812A" w14:textId="77777777" w:rsidR="008B1C24" w:rsidRPr="00C2008D" w:rsidRDefault="001061FA" w:rsidP="001061FA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cs="Arial"/>
                <w:color w:val="385623" w:themeColor="accent6" w:themeShade="80"/>
                <w:sz w:val="18"/>
                <w:szCs w:val="18"/>
              </w:rPr>
              <w:t>41 panes</w:t>
            </w:r>
          </w:p>
          <w:p w14:paraId="5F5EF0C9" w14:textId="10817F6D" w:rsidR="001061FA" w:rsidRPr="00C2008D" w:rsidRDefault="001061FA" w:rsidP="001061FA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cs="Arial"/>
                <w:color w:val="385623" w:themeColor="accent6" w:themeShade="80"/>
                <w:sz w:val="18"/>
                <w:szCs w:val="18"/>
              </w:rPr>
              <w:t>Incremento de</w:t>
            </w:r>
            <w:r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: 0.3739</w:t>
            </w:r>
          </w:p>
        </w:tc>
      </w:tr>
      <w:tr w:rsidR="001061FA" w:rsidRPr="000476B1" w14:paraId="7EA661ED" w14:textId="77777777" w:rsidTr="007B7551">
        <w:trPr>
          <w:trHeight w:val="232"/>
        </w:trPr>
        <w:tc>
          <w:tcPr>
            <w:tcW w:w="1497" w:type="dxa"/>
            <w:vAlign w:val="center"/>
          </w:tcPr>
          <w:p w14:paraId="02325B2E" w14:textId="0BD496F6" w:rsidR="008B1C24" w:rsidRPr="00C2008D" w:rsidRDefault="001061FA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cs="Arial"/>
                <w:color w:val="385623" w:themeColor="accent6" w:themeShade="80"/>
                <w:sz w:val="18"/>
                <w:szCs w:val="18"/>
              </w:rPr>
              <w:t>Mostrar el texto en pantalla y dejarlo por cinco segundos después que termine el locutor</w:t>
            </w:r>
          </w:p>
        </w:tc>
        <w:tc>
          <w:tcPr>
            <w:tcW w:w="5869" w:type="dxa"/>
            <w:vAlign w:val="center"/>
          </w:tcPr>
          <w:p w14:paraId="60E095CD" w14:textId="28CB0406" w:rsidR="008B1C24" w:rsidRPr="00C2008D" w:rsidRDefault="001061FA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Por otra parte, la utilidad marginal del chocolate es</w:t>
            </w:r>
            <w:r w:rsidR="00C2008D" w:rsidRPr="00C2008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 de cero punto nueve.</w:t>
            </w:r>
          </w:p>
        </w:tc>
        <w:tc>
          <w:tcPr>
            <w:tcW w:w="5954" w:type="dxa"/>
            <w:vAlign w:val="center"/>
          </w:tcPr>
          <w:p w14:paraId="20F90371" w14:textId="77777777" w:rsidR="001061FA" w:rsidRPr="00C2008D" w:rsidRDefault="00475E3C" w:rsidP="001061FA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2/5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-1/3</m:t>
                    </m:r>
                  </m:sup>
                </m:sSup>
              </m:oMath>
            </m:oMathPara>
          </w:p>
          <w:p w14:paraId="0C05CEE2" w14:textId="77777777" w:rsidR="001061FA" w:rsidRPr="00C2008D" w:rsidRDefault="00475E3C" w:rsidP="001061FA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40,25</m:t>
                    </m:r>
                  </m:e>
                </m:d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40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2/5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25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-1/3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≈0.997</m:t>
                </m:r>
              </m:oMath>
            </m:oMathPara>
          </w:p>
          <w:p w14:paraId="22DFCC1E" w14:textId="22A8D6EF" w:rsidR="008B1C24" w:rsidRPr="00C2008D" w:rsidRDefault="008B1C24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</w:tr>
      <w:tr w:rsidR="001061FA" w:rsidRPr="000476B1" w14:paraId="10A15348" w14:textId="77777777" w:rsidTr="007B7551">
        <w:tc>
          <w:tcPr>
            <w:tcW w:w="1497" w:type="dxa"/>
            <w:vAlign w:val="center"/>
          </w:tcPr>
          <w:p w14:paraId="68B99744" w14:textId="26D3379D" w:rsidR="003A28C4" w:rsidRPr="007B7551" w:rsidRDefault="001061FA" w:rsidP="001061FA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cs="Arial"/>
                <w:color w:val="385623" w:themeColor="accent6" w:themeShade="80"/>
                <w:sz w:val="18"/>
                <w:szCs w:val="18"/>
              </w:rPr>
              <w:t>Mostrar a Juana solo con el chocolate y en un recuadro el texto</w:t>
            </w:r>
          </w:p>
        </w:tc>
        <w:tc>
          <w:tcPr>
            <w:tcW w:w="5869" w:type="dxa"/>
            <w:vAlign w:val="center"/>
          </w:tcPr>
          <w:p w14:paraId="32ED084F" w14:textId="5EAAD35E" w:rsidR="003A28C4" w:rsidRPr="007B7551" w:rsidRDefault="001061FA" w:rsidP="001061FA">
            <w:pPr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Lo que significa que si Juana consume una taza más de chocolate al mes, o sea 26, obtendrá un incremento en su nivel de utilidad de</w:t>
            </w:r>
            <w:r w:rsidR="00C2008D"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 cero punto nueve</w:t>
            </w:r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.</w:t>
            </w:r>
          </w:p>
        </w:tc>
        <w:tc>
          <w:tcPr>
            <w:tcW w:w="5954" w:type="dxa"/>
            <w:vAlign w:val="center"/>
          </w:tcPr>
          <w:p w14:paraId="6D8ABC1E" w14:textId="77777777" w:rsidR="005259C2" w:rsidRPr="007B7551" w:rsidRDefault="001061FA" w:rsidP="001061FA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cs="Arial"/>
                <w:color w:val="385623" w:themeColor="accent6" w:themeShade="80"/>
                <w:sz w:val="18"/>
                <w:szCs w:val="18"/>
              </w:rPr>
              <w:t>26 tazas de chocolate</w:t>
            </w:r>
          </w:p>
          <w:p w14:paraId="4A649B29" w14:textId="10E5AF1F" w:rsidR="001061FA" w:rsidRPr="007B7551" w:rsidRDefault="00475E3C" w:rsidP="001061FA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>
              <w:rPr>
                <w:rFonts w:cs="Arial"/>
                <w:color w:val="385623" w:themeColor="accent6" w:themeShade="80"/>
                <w:sz w:val="18"/>
                <w:szCs w:val="18"/>
              </w:rPr>
              <w:t>In</w:t>
            </w:r>
            <w:bookmarkStart w:id="0" w:name="_GoBack"/>
            <w:bookmarkEnd w:id="0"/>
            <w:r w:rsidR="001061FA" w:rsidRPr="007B7551">
              <w:rPr>
                <w:rFonts w:cs="Arial"/>
                <w:color w:val="385623" w:themeColor="accent6" w:themeShade="80"/>
                <w:sz w:val="18"/>
                <w:szCs w:val="18"/>
              </w:rPr>
              <w:t>cremento de: 0.997</w:t>
            </w:r>
          </w:p>
        </w:tc>
      </w:tr>
      <w:tr w:rsidR="00C24AB3" w:rsidRPr="000476B1" w14:paraId="68642823" w14:textId="77777777" w:rsidTr="007B7551">
        <w:tc>
          <w:tcPr>
            <w:tcW w:w="1497" w:type="dxa"/>
            <w:vMerge w:val="restart"/>
            <w:vAlign w:val="center"/>
          </w:tcPr>
          <w:p w14:paraId="69D33794" w14:textId="7E5FB30C" w:rsidR="00C24AB3" w:rsidRPr="007B7551" w:rsidRDefault="00C24AB3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cs="Arial"/>
                <w:color w:val="385623" w:themeColor="accent6" w:themeShade="80"/>
                <w:sz w:val="18"/>
                <w:szCs w:val="18"/>
              </w:rPr>
              <w:t>Solo el texto en pantalla</w:t>
            </w:r>
          </w:p>
        </w:tc>
        <w:tc>
          <w:tcPr>
            <w:tcW w:w="5869" w:type="dxa"/>
            <w:vAlign w:val="center"/>
          </w:tcPr>
          <w:p w14:paraId="670807B3" w14:textId="77777777" w:rsidR="00C24AB3" w:rsidRPr="007B7551" w:rsidRDefault="00C24AB3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341E2DE7" w14:textId="6EBEA398" w:rsidR="00C24AB3" w:rsidRPr="007B7551" w:rsidRDefault="00C24AB3" w:rsidP="001061FA">
            <w:pPr>
              <w:jc w:val="center"/>
              <w:rPr>
                <w:rFonts w:cs="Arial"/>
                <w:b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cs="Arial"/>
                <w:b/>
                <w:color w:val="385623" w:themeColor="accent6" w:themeShade="80"/>
                <w:sz w:val="18"/>
                <w:szCs w:val="18"/>
              </w:rPr>
              <w:t>Elasticidades</w:t>
            </w:r>
          </w:p>
          <w:p w14:paraId="3A1C3D30" w14:textId="1B257943" w:rsidR="00C24AB3" w:rsidRPr="007B7551" w:rsidRDefault="00C24AB3" w:rsidP="001061FA">
            <w:pPr>
              <w:jc w:val="center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cs="Arial"/>
                <w:b/>
                <w:color w:val="385623" w:themeColor="accent6" w:themeShade="80"/>
                <w:sz w:val="18"/>
                <w:szCs w:val="18"/>
              </w:rPr>
              <w:t>Ejemplo #2</w:t>
            </w:r>
          </w:p>
        </w:tc>
      </w:tr>
      <w:tr w:rsidR="00C24AB3" w:rsidRPr="000476B1" w14:paraId="47255C94" w14:textId="77777777" w:rsidTr="007B7551">
        <w:tc>
          <w:tcPr>
            <w:tcW w:w="1497" w:type="dxa"/>
            <w:vMerge/>
            <w:vAlign w:val="center"/>
          </w:tcPr>
          <w:p w14:paraId="4DC343E3" w14:textId="77777777" w:rsidR="00C24AB3" w:rsidRPr="007B7551" w:rsidRDefault="00C24AB3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5869" w:type="dxa"/>
            <w:vAlign w:val="center"/>
          </w:tcPr>
          <w:p w14:paraId="571027F7" w14:textId="0FAFA815" w:rsidR="00C24AB3" w:rsidRPr="007B7551" w:rsidRDefault="00C24AB3" w:rsidP="0073503D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Suponga una función de demanda:</w:t>
            </w:r>
            <w:r w:rsidR="0073503D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 q sub a igual a doscientos veinte menos cuatro pe sub a más dos p sub be más ye sobre cincuenta, con pe sub a igual a 5, pe sub b igual a seis y ye igual a mil novecientos.</w:t>
            </w:r>
          </w:p>
        </w:tc>
        <w:tc>
          <w:tcPr>
            <w:tcW w:w="5954" w:type="dxa"/>
            <w:vAlign w:val="center"/>
          </w:tcPr>
          <w:p w14:paraId="0FC31C6F" w14:textId="77777777" w:rsidR="00C24AB3" w:rsidRPr="007B7551" w:rsidRDefault="00475E3C" w:rsidP="00426049">
            <w:pPr>
              <w:jc w:val="left"/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=220-4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50</m:t>
                    </m:r>
                  </m:den>
                </m:f>
              </m:oMath>
            </m:oMathPara>
          </w:p>
          <w:p w14:paraId="206AFA58" w14:textId="77777777" w:rsidR="00C24AB3" w:rsidRPr="007B7551" w:rsidRDefault="00C24AB3" w:rsidP="00426049">
            <w:pPr>
              <w:jc w:val="left"/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</w:p>
          <w:p w14:paraId="41CFF0AE" w14:textId="61510B97" w:rsidR="00C24AB3" w:rsidRPr="007B7551" w:rsidRDefault="00C24AB3" w:rsidP="00426049">
            <w:pPr>
              <w:jc w:val="left"/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Con:</w:t>
            </w:r>
          </w:p>
          <w:p w14:paraId="4312C302" w14:textId="77777777" w:rsidR="00C24AB3" w:rsidRPr="007B7551" w:rsidRDefault="00C24AB3" w:rsidP="00426049">
            <w:pPr>
              <w:jc w:val="left"/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</w:p>
          <w:p w14:paraId="656591CC" w14:textId="77777777" w:rsidR="00C24AB3" w:rsidRPr="007B7551" w:rsidRDefault="00475E3C" w:rsidP="00C24AB3">
            <w:pPr>
              <w:jc w:val="left"/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=5</m:t>
                </m:r>
              </m:oMath>
            </m:oMathPara>
          </w:p>
          <w:p w14:paraId="193D1C1F" w14:textId="77777777" w:rsidR="00C24AB3" w:rsidRPr="007B7551" w:rsidRDefault="00475E3C" w:rsidP="00C24AB3">
            <w:pPr>
              <w:jc w:val="left"/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=6</m:t>
                </m:r>
              </m:oMath>
            </m:oMathPara>
          </w:p>
          <w:p w14:paraId="21DA1A08" w14:textId="586C820A" w:rsidR="00C24AB3" w:rsidRPr="007B7551" w:rsidRDefault="00C24AB3" w:rsidP="00C24AB3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m:oMath>
              <m:r>
                <w:rPr>
                  <w:rFonts w:ascii="Cambria Math" w:eastAsiaTheme="minorEastAsia" w:hAnsi="Cambria Math" w:cs="Arial"/>
                  <w:color w:val="385623" w:themeColor="accent6" w:themeShade="80"/>
                  <w:sz w:val="18"/>
                  <w:szCs w:val="18"/>
                </w:rPr>
                <m:t>Y=1900</m:t>
              </m:r>
            </m:oMath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.</w:t>
            </w:r>
          </w:p>
        </w:tc>
      </w:tr>
      <w:tr w:rsidR="00C24AB3" w:rsidRPr="000476B1" w14:paraId="0B555683" w14:textId="77777777" w:rsidTr="007B7551">
        <w:tc>
          <w:tcPr>
            <w:tcW w:w="1497" w:type="dxa"/>
            <w:vMerge/>
            <w:vAlign w:val="center"/>
          </w:tcPr>
          <w:p w14:paraId="1CD2E13E" w14:textId="77777777" w:rsidR="00C24AB3" w:rsidRPr="007B7551" w:rsidRDefault="00C24AB3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5869" w:type="dxa"/>
            <w:vAlign w:val="center"/>
          </w:tcPr>
          <w:p w14:paraId="6117CC61" w14:textId="252268FC" w:rsidR="00C24AB3" w:rsidRPr="007B7551" w:rsidRDefault="00C24AB3" w:rsidP="008D160F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 xml:space="preserve">Para estos valores, la demanda del bien A </w:t>
            </w:r>
            <w:r w:rsidR="008D160F"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será la siguiente</w:t>
            </w:r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:</w:t>
            </w:r>
          </w:p>
        </w:tc>
        <w:tc>
          <w:tcPr>
            <w:tcW w:w="5954" w:type="dxa"/>
            <w:vAlign w:val="center"/>
          </w:tcPr>
          <w:p w14:paraId="6908A2AB" w14:textId="35F14670" w:rsidR="00C24AB3" w:rsidRPr="007B7551" w:rsidRDefault="00475E3C" w:rsidP="00C24AB3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=220-4⋅5+2⋅6+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1900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50</m:t>
                    </m:r>
                  </m:den>
                </m:f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=250</m:t>
                </m:r>
              </m:oMath>
            </m:oMathPara>
          </w:p>
        </w:tc>
      </w:tr>
      <w:tr w:rsidR="00C24AB3" w:rsidRPr="000476B1" w14:paraId="0FA13F31" w14:textId="77777777" w:rsidTr="007B7551">
        <w:tc>
          <w:tcPr>
            <w:tcW w:w="1497" w:type="dxa"/>
            <w:vMerge/>
            <w:vAlign w:val="center"/>
          </w:tcPr>
          <w:p w14:paraId="5036E90A" w14:textId="77777777" w:rsidR="00C24AB3" w:rsidRPr="007B7551" w:rsidRDefault="00C24AB3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5869" w:type="dxa"/>
            <w:vAlign w:val="center"/>
          </w:tcPr>
          <w:p w14:paraId="6596F8C6" w14:textId="69BFC8B2" w:rsidR="00C24AB3" w:rsidRPr="007B7551" w:rsidRDefault="00C24AB3" w:rsidP="00426049">
            <w:pPr>
              <w:jc w:val="left"/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Entonces cada una de las elasticidades se obtiene aplicando la fórmula respectiva:</w:t>
            </w:r>
          </w:p>
        </w:tc>
        <w:tc>
          <w:tcPr>
            <w:tcW w:w="5954" w:type="dxa"/>
            <w:vAlign w:val="center"/>
          </w:tcPr>
          <w:p w14:paraId="5A813E73" w14:textId="77777777" w:rsidR="00C24AB3" w:rsidRPr="007B7551" w:rsidRDefault="00475E3C" w:rsidP="00C24AB3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η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A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250</m:t>
                    </m:r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⋅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-4</m:t>
                    </m:r>
                  </m:e>
                </m:d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=-0.08</m:t>
                </m:r>
              </m:oMath>
            </m:oMathPara>
          </w:p>
          <w:p w14:paraId="2B45AC2D" w14:textId="77777777" w:rsidR="00C24AB3" w:rsidRPr="007B7551" w:rsidRDefault="00475E3C" w:rsidP="00C24AB3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η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B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18"/>
                        <w:szCs w:val="18"/>
                      </w:rPr>
                      <m:t>250</m:t>
                    </m:r>
                  </m:den>
                </m:f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18"/>
                    <w:szCs w:val="18"/>
                  </w:rPr>
                  <m:t>⋅2=0.048</m:t>
                </m:r>
              </m:oMath>
            </m:oMathPara>
          </w:p>
          <w:p w14:paraId="6BD2C375" w14:textId="170ACBC5" w:rsidR="00C24AB3" w:rsidRPr="007B7551" w:rsidRDefault="00475E3C" w:rsidP="00C24AB3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Y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385623" w:themeColor="accent6" w:themeShade="8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385623" w:themeColor="accent6" w:themeShade="80"/>
                            <w:sz w:val="18"/>
                            <w:szCs w:val="18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∂Y</m:t>
                    </m:r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1900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250</m:t>
                    </m:r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⋅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385623" w:themeColor="accent6" w:themeShade="8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385623" w:themeColor="accent6" w:themeShade="80"/>
                        <w:sz w:val="18"/>
                        <w:szCs w:val="18"/>
                      </w:rPr>
                      <m:t>50</m:t>
                    </m:r>
                  </m:den>
                </m:f>
                <m:r>
                  <w:rPr>
                    <w:rFonts w:ascii="Cambria Math" w:hAnsi="Cambria Math" w:cs="Arial"/>
                    <w:color w:val="385623" w:themeColor="accent6" w:themeShade="80"/>
                    <w:sz w:val="18"/>
                    <w:szCs w:val="18"/>
                  </w:rPr>
                  <m:t>=0.152</m:t>
                </m:r>
              </m:oMath>
            </m:oMathPara>
          </w:p>
        </w:tc>
      </w:tr>
      <w:tr w:rsidR="00C24AB3" w:rsidRPr="000476B1" w14:paraId="5D444D90" w14:textId="77777777" w:rsidTr="007B7551">
        <w:tc>
          <w:tcPr>
            <w:tcW w:w="1497" w:type="dxa"/>
            <w:vMerge/>
            <w:vAlign w:val="center"/>
          </w:tcPr>
          <w:p w14:paraId="60547686" w14:textId="77777777" w:rsidR="00C24AB3" w:rsidRPr="007B7551" w:rsidRDefault="00C24AB3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5869" w:type="dxa"/>
            <w:vAlign w:val="center"/>
          </w:tcPr>
          <w:p w14:paraId="2353E5B2" w14:textId="10FB1A69" w:rsidR="00C24AB3" w:rsidRPr="007B7551" w:rsidRDefault="00C24AB3" w:rsidP="007B7551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Lo que significa que si se incrementa el precio de A en un 1 %, la demanda de A disminuirá en un 0.08 %; si el precio de B aumenta un 1 %, la demanda de A aumentará en un 0.048 %, y si la renta aumenta en un 1 %, la demanda aumentará en un 0.152 %.</w:t>
            </w:r>
          </w:p>
        </w:tc>
        <w:tc>
          <w:tcPr>
            <w:tcW w:w="5954" w:type="dxa"/>
            <w:vAlign w:val="center"/>
          </w:tcPr>
          <w:p w14:paraId="3E291767" w14:textId="77777777" w:rsidR="00C24AB3" w:rsidRDefault="00C24AB3" w:rsidP="00C24AB3">
            <w:pPr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096"/>
              <w:gridCol w:w="2590"/>
            </w:tblGrid>
            <w:tr w:rsidR="007B7551" w14:paraId="3F62C029" w14:textId="77777777" w:rsidTr="007B7551">
              <w:tc>
                <w:tcPr>
                  <w:tcW w:w="1588" w:type="dxa"/>
                  <w:vAlign w:val="center"/>
                </w:tcPr>
                <w:p w14:paraId="48CF453C" w14:textId="3509E492" w:rsidR="007B7551" w:rsidRPr="007B7551" w:rsidRDefault="007B7551" w:rsidP="007B7551">
                  <w:pPr>
                    <w:jc w:val="center"/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  <w:t>Bien o producto</w:t>
                  </w:r>
                </w:p>
              </w:tc>
              <w:tc>
                <w:tcPr>
                  <w:tcW w:w="1096" w:type="dxa"/>
                  <w:vAlign w:val="center"/>
                </w:tcPr>
                <w:p w14:paraId="529FFA3E" w14:textId="481CBA42" w:rsidR="007B7551" w:rsidRPr="007B7551" w:rsidRDefault="007B7551" w:rsidP="007B7551">
                  <w:pPr>
                    <w:jc w:val="center"/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  <w:t>Incremento</w:t>
                  </w:r>
                </w:p>
              </w:tc>
              <w:tc>
                <w:tcPr>
                  <w:tcW w:w="2590" w:type="dxa"/>
                  <w:vAlign w:val="center"/>
                </w:tcPr>
                <w:p w14:paraId="5E50087E" w14:textId="1122410F" w:rsidR="007B7551" w:rsidRPr="007B7551" w:rsidRDefault="007B7551" w:rsidP="007B7551">
                  <w:pPr>
                    <w:jc w:val="center"/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  <w:t>Consecuencia</w:t>
                  </w:r>
                </w:p>
              </w:tc>
            </w:tr>
            <w:tr w:rsidR="007B7551" w14:paraId="67309475" w14:textId="77777777" w:rsidTr="007B7551">
              <w:tc>
                <w:tcPr>
                  <w:tcW w:w="1588" w:type="dxa"/>
                  <w:vAlign w:val="center"/>
                </w:tcPr>
                <w:p w14:paraId="4A72BE6F" w14:textId="1613AC2B" w:rsidR="007B7551" w:rsidRPr="007B7551" w:rsidRDefault="007B7551" w:rsidP="007B7551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1096" w:type="dxa"/>
                  <w:vAlign w:val="center"/>
                </w:tcPr>
                <w:p w14:paraId="2F00847D" w14:textId="0BC0AFB6" w:rsidR="007B7551" w:rsidRPr="007B7551" w:rsidRDefault="007B7551" w:rsidP="007B7551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1 %</w:t>
                  </w:r>
                </w:p>
              </w:tc>
              <w:tc>
                <w:tcPr>
                  <w:tcW w:w="2590" w:type="dxa"/>
                  <w:vAlign w:val="center"/>
                </w:tcPr>
                <w:p w14:paraId="41E772EC" w14:textId="4D8CF023" w:rsidR="007B7551" w:rsidRPr="007B7551" w:rsidRDefault="007B7551" w:rsidP="007B7551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Disminución de la demanda de A en un 0.008 %</w:t>
                  </w:r>
                </w:p>
              </w:tc>
            </w:tr>
            <w:tr w:rsidR="007B7551" w14:paraId="2BF72323" w14:textId="77777777" w:rsidTr="007B7551">
              <w:tc>
                <w:tcPr>
                  <w:tcW w:w="1588" w:type="dxa"/>
                  <w:vAlign w:val="center"/>
                </w:tcPr>
                <w:p w14:paraId="4DBC4CB5" w14:textId="32E54BC7" w:rsidR="007B7551" w:rsidRPr="007B7551" w:rsidRDefault="007B7551" w:rsidP="007B7551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B</w:t>
                  </w:r>
                </w:p>
              </w:tc>
              <w:tc>
                <w:tcPr>
                  <w:tcW w:w="1096" w:type="dxa"/>
                  <w:vAlign w:val="center"/>
                </w:tcPr>
                <w:p w14:paraId="4BD78D6D" w14:textId="003123AB" w:rsidR="007B7551" w:rsidRPr="007B7551" w:rsidRDefault="007B7551" w:rsidP="007B7551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1 %</w:t>
                  </w:r>
                </w:p>
              </w:tc>
              <w:tc>
                <w:tcPr>
                  <w:tcW w:w="2590" w:type="dxa"/>
                  <w:vAlign w:val="center"/>
                </w:tcPr>
                <w:p w14:paraId="275967FD" w14:textId="78320F17" w:rsidR="007B7551" w:rsidRPr="007B7551" w:rsidRDefault="007B7551" w:rsidP="007B7551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Aumento de la demanda de A en un 0.048 %</w:t>
                  </w:r>
                </w:p>
              </w:tc>
            </w:tr>
            <w:tr w:rsidR="007B7551" w14:paraId="47756245" w14:textId="77777777" w:rsidTr="007B7551">
              <w:tc>
                <w:tcPr>
                  <w:tcW w:w="1588" w:type="dxa"/>
                  <w:vAlign w:val="center"/>
                </w:tcPr>
                <w:p w14:paraId="1D9469C2" w14:textId="7D47D05F" w:rsidR="007B7551" w:rsidRDefault="007B7551" w:rsidP="007B7551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Renta</w:t>
                  </w:r>
                </w:p>
              </w:tc>
              <w:tc>
                <w:tcPr>
                  <w:tcW w:w="1096" w:type="dxa"/>
                  <w:vAlign w:val="center"/>
                </w:tcPr>
                <w:p w14:paraId="61A9F60A" w14:textId="4711CE83" w:rsidR="007B7551" w:rsidRPr="007B7551" w:rsidRDefault="007B7551" w:rsidP="007B7551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1 %</w:t>
                  </w:r>
                </w:p>
              </w:tc>
              <w:tc>
                <w:tcPr>
                  <w:tcW w:w="2590" w:type="dxa"/>
                  <w:vAlign w:val="center"/>
                </w:tcPr>
                <w:p w14:paraId="5050D12C" w14:textId="112C5720" w:rsidR="007B7551" w:rsidRDefault="007B7551" w:rsidP="007B7551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Aumento de la demanda en un 0.152 %</w:t>
                  </w:r>
                </w:p>
              </w:tc>
            </w:tr>
          </w:tbl>
          <w:p w14:paraId="73D050E3" w14:textId="77777777" w:rsidR="007B7551" w:rsidRDefault="007B7551" w:rsidP="00C24AB3">
            <w:pPr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  <w:p w14:paraId="649FB088" w14:textId="6B412B5A" w:rsidR="007B7551" w:rsidRPr="007B7551" w:rsidRDefault="007B7551" w:rsidP="00C24AB3">
            <w:pPr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</w:tr>
      <w:tr w:rsidR="007B7551" w:rsidRPr="000476B1" w14:paraId="13FBFAF6" w14:textId="77777777" w:rsidTr="007B7551">
        <w:tc>
          <w:tcPr>
            <w:tcW w:w="1497" w:type="dxa"/>
            <w:vAlign w:val="center"/>
          </w:tcPr>
          <w:p w14:paraId="26C8DB6B" w14:textId="77777777" w:rsidR="007B7551" w:rsidRPr="007B7551" w:rsidRDefault="007B7551" w:rsidP="00426049">
            <w:pPr>
              <w:jc w:val="left"/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5869" w:type="dxa"/>
            <w:vAlign w:val="center"/>
          </w:tcPr>
          <w:p w14:paraId="029666A0" w14:textId="0C30F900" w:rsidR="007B7551" w:rsidRPr="007B7551" w:rsidRDefault="007B7551" w:rsidP="00C24AB3">
            <w:pPr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eastAsiaTheme="minorEastAsia" w:cs="Arial"/>
                <w:color w:val="385623" w:themeColor="accent6" w:themeShade="80"/>
                <w:sz w:val="18"/>
                <w:szCs w:val="18"/>
              </w:rPr>
              <w:t>En todos los casos se obtuvo una demanda inelástica, lo que significa que la demanda es poco sensible frente a incrementos porcentuales de los precios y la renta.</w:t>
            </w:r>
          </w:p>
        </w:tc>
        <w:tc>
          <w:tcPr>
            <w:tcW w:w="5954" w:type="dxa"/>
            <w:vAlign w:val="center"/>
          </w:tcPr>
          <w:p w14:paraId="2F1E561F" w14:textId="77777777" w:rsidR="007B7551" w:rsidRDefault="007B7551" w:rsidP="007B7551">
            <w:pPr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096"/>
              <w:gridCol w:w="2590"/>
            </w:tblGrid>
            <w:tr w:rsidR="007B7551" w14:paraId="65E38529" w14:textId="77777777" w:rsidTr="00815080">
              <w:tc>
                <w:tcPr>
                  <w:tcW w:w="1588" w:type="dxa"/>
                  <w:vAlign w:val="center"/>
                </w:tcPr>
                <w:p w14:paraId="39DAAE57" w14:textId="77777777" w:rsidR="007B7551" w:rsidRPr="007B7551" w:rsidRDefault="007B7551" w:rsidP="00815080">
                  <w:pPr>
                    <w:jc w:val="center"/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  <w:t>Bien o producto</w:t>
                  </w:r>
                </w:p>
              </w:tc>
              <w:tc>
                <w:tcPr>
                  <w:tcW w:w="1096" w:type="dxa"/>
                  <w:vAlign w:val="center"/>
                </w:tcPr>
                <w:p w14:paraId="155F1999" w14:textId="77777777" w:rsidR="007B7551" w:rsidRPr="007B7551" w:rsidRDefault="007B7551" w:rsidP="00815080">
                  <w:pPr>
                    <w:jc w:val="center"/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  <w:t>Incremento</w:t>
                  </w:r>
                </w:p>
              </w:tc>
              <w:tc>
                <w:tcPr>
                  <w:tcW w:w="2590" w:type="dxa"/>
                  <w:vAlign w:val="center"/>
                </w:tcPr>
                <w:p w14:paraId="7C65BBD3" w14:textId="77777777" w:rsidR="007B7551" w:rsidRPr="007B7551" w:rsidRDefault="007B7551" w:rsidP="00815080">
                  <w:pPr>
                    <w:jc w:val="center"/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b/>
                      <w:color w:val="385623" w:themeColor="accent6" w:themeShade="80"/>
                      <w:sz w:val="14"/>
                      <w:szCs w:val="14"/>
                    </w:rPr>
                    <w:t>Consecuencia</w:t>
                  </w:r>
                </w:p>
              </w:tc>
            </w:tr>
            <w:tr w:rsidR="007B7551" w14:paraId="1078F4F8" w14:textId="77777777" w:rsidTr="00815080">
              <w:tc>
                <w:tcPr>
                  <w:tcW w:w="1588" w:type="dxa"/>
                  <w:vAlign w:val="center"/>
                </w:tcPr>
                <w:p w14:paraId="64786B4E" w14:textId="77777777" w:rsidR="007B7551" w:rsidRPr="007B7551" w:rsidRDefault="007B7551" w:rsidP="00815080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1096" w:type="dxa"/>
                  <w:vAlign w:val="center"/>
                </w:tcPr>
                <w:p w14:paraId="7AB98160" w14:textId="77777777" w:rsidR="007B7551" w:rsidRPr="007B7551" w:rsidRDefault="007B7551" w:rsidP="00815080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1 %</w:t>
                  </w:r>
                </w:p>
              </w:tc>
              <w:tc>
                <w:tcPr>
                  <w:tcW w:w="2590" w:type="dxa"/>
                  <w:vAlign w:val="center"/>
                </w:tcPr>
                <w:p w14:paraId="39A52B3F" w14:textId="77777777" w:rsidR="007B7551" w:rsidRPr="007B7551" w:rsidRDefault="007B7551" w:rsidP="00815080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Disminución de la demanda de A en un 0.008 %</w:t>
                  </w:r>
                </w:p>
              </w:tc>
            </w:tr>
            <w:tr w:rsidR="007B7551" w14:paraId="1F9326E7" w14:textId="77777777" w:rsidTr="00815080">
              <w:tc>
                <w:tcPr>
                  <w:tcW w:w="1588" w:type="dxa"/>
                  <w:vAlign w:val="center"/>
                </w:tcPr>
                <w:p w14:paraId="0B5A82D9" w14:textId="77777777" w:rsidR="007B7551" w:rsidRPr="007B7551" w:rsidRDefault="007B7551" w:rsidP="00815080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B</w:t>
                  </w:r>
                </w:p>
              </w:tc>
              <w:tc>
                <w:tcPr>
                  <w:tcW w:w="1096" w:type="dxa"/>
                  <w:vAlign w:val="center"/>
                </w:tcPr>
                <w:p w14:paraId="2A5A6D84" w14:textId="77777777" w:rsidR="007B7551" w:rsidRPr="007B7551" w:rsidRDefault="007B7551" w:rsidP="00815080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 w:rsidRPr="007B7551"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1 %</w:t>
                  </w:r>
                </w:p>
              </w:tc>
              <w:tc>
                <w:tcPr>
                  <w:tcW w:w="2590" w:type="dxa"/>
                  <w:vAlign w:val="center"/>
                </w:tcPr>
                <w:p w14:paraId="6A281AA5" w14:textId="77777777" w:rsidR="007B7551" w:rsidRPr="007B7551" w:rsidRDefault="007B7551" w:rsidP="00815080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Aumento de la demanda de A en un 0.048 %</w:t>
                  </w:r>
                </w:p>
              </w:tc>
            </w:tr>
            <w:tr w:rsidR="007B7551" w14:paraId="5D6637F2" w14:textId="77777777" w:rsidTr="00815080">
              <w:tc>
                <w:tcPr>
                  <w:tcW w:w="1588" w:type="dxa"/>
                  <w:vAlign w:val="center"/>
                </w:tcPr>
                <w:p w14:paraId="6B48222A" w14:textId="77777777" w:rsidR="007B7551" w:rsidRDefault="007B7551" w:rsidP="00815080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Renta</w:t>
                  </w:r>
                </w:p>
              </w:tc>
              <w:tc>
                <w:tcPr>
                  <w:tcW w:w="1096" w:type="dxa"/>
                  <w:vAlign w:val="center"/>
                </w:tcPr>
                <w:p w14:paraId="49539294" w14:textId="77777777" w:rsidR="007B7551" w:rsidRPr="007B7551" w:rsidRDefault="007B7551" w:rsidP="00815080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1 %</w:t>
                  </w:r>
                </w:p>
              </w:tc>
              <w:tc>
                <w:tcPr>
                  <w:tcW w:w="2590" w:type="dxa"/>
                  <w:vAlign w:val="center"/>
                </w:tcPr>
                <w:p w14:paraId="262B1235" w14:textId="77777777" w:rsidR="007B7551" w:rsidRDefault="007B7551" w:rsidP="00815080">
                  <w:pPr>
                    <w:jc w:val="center"/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</w:pPr>
                  <w:r>
                    <w:rPr>
                      <w:rFonts w:cs="Arial"/>
                      <w:color w:val="385623" w:themeColor="accent6" w:themeShade="80"/>
                      <w:sz w:val="14"/>
                      <w:szCs w:val="14"/>
                    </w:rPr>
                    <w:t>Aumento de la demanda en un 0.152 %</w:t>
                  </w:r>
                </w:p>
              </w:tc>
            </w:tr>
          </w:tbl>
          <w:p w14:paraId="357D1DB3" w14:textId="77777777" w:rsidR="007B7551" w:rsidRDefault="007B7551" w:rsidP="007B7551">
            <w:pPr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  <w:p w14:paraId="1BE92D41" w14:textId="6682B19E" w:rsidR="007B7551" w:rsidRPr="007B7551" w:rsidRDefault="007B7551" w:rsidP="007B7551">
            <w:pPr>
              <w:jc w:val="center"/>
              <w:rPr>
                <w:rFonts w:cs="Arial"/>
                <w:b/>
                <w:color w:val="385623" w:themeColor="accent6" w:themeShade="80"/>
                <w:sz w:val="18"/>
                <w:szCs w:val="18"/>
              </w:rPr>
            </w:pPr>
            <w:r w:rsidRPr="007B7551">
              <w:rPr>
                <w:rFonts w:cs="Arial"/>
                <w:b/>
                <w:color w:val="385623" w:themeColor="accent6" w:themeShade="80"/>
                <w:sz w:val="18"/>
                <w:szCs w:val="18"/>
              </w:rPr>
              <w:t>Demanda inelástica</w:t>
            </w:r>
          </w:p>
          <w:p w14:paraId="5EEBB7ED" w14:textId="77777777" w:rsidR="007B7551" w:rsidRDefault="007B7551" w:rsidP="00C24AB3">
            <w:pPr>
              <w:rPr>
                <w:rFonts w:cs="Arial"/>
                <w:color w:val="385623" w:themeColor="accent6" w:themeShade="80"/>
                <w:sz w:val="18"/>
                <w:szCs w:val="18"/>
              </w:rPr>
            </w:pPr>
          </w:p>
        </w:tc>
      </w:tr>
    </w:tbl>
    <w:p w14:paraId="1CBCC471" w14:textId="77777777" w:rsidR="000476B1" w:rsidRPr="000476B1" w:rsidRDefault="000476B1" w:rsidP="000476B1">
      <w:pPr>
        <w:rPr>
          <w:rFonts w:eastAsiaTheme="minorEastAsia" w:cs="Arial"/>
          <w:color w:val="525252" w:themeColor="accent3" w:themeShade="80"/>
          <w:szCs w:val="24"/>
        </w:rPr>
      </w:pPr>
    </w:p>
    <w:sectPr w:rsidR="000476B1" w:rsidRPr="000476B1" w:rsidSect="0048679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99"/>
    <w:rsid w:val="000025A8"/>
    <w:rsid w:val="00004293"/>
    <w:rsid w:val="000260DE"/>
    <w:rsid w:val="000476B1"/>
    <w:rsid w:val="000B7A9C"/>
    <w:rsid w:val="001061FA"/>
    <w:rsid w:val="00155F7C"/>
    <w:rsid w:val="00163C4A"/>
    <w:rsid w:val="002316B9"/>
    <w:rsid w:val="00292275"/>
    <w:rsid w:val="002F5437"/>
    <w:rsid w:val="003235E3"/>
    <w:rsid w:val="003A28C4"/>
    <w:rsid w:val="003A6224"/>
    <w:rsid w:val="003D4B5E"/>
    <w:rsid w:val="00426049"/>
    <w:rsid w:val="00437BED"/>
    <w:rsid w:val="00456F3E"/>
    <w:rsid w:val="00475E3C"/>
    <w:rsid w:val="00486799"/>
    <w:rsid w:val="005259C2"/>
    <w:rsid w:val="005B20A9"/>
    <w:rsid w:val="00650168"/>
    <w:rsid w:val="006E79C2"/>
    <w:rsid w:val="0073503D"/>
    <w:rsid w:val="007554D5"/>
    <w:rsid w:val="00766F61"/>
    <w:rsid w:val="007A1D5F"/>
    <w:rsid w:val="007B1A54"/>
    <w:rsid w:val="007B3748"/>
    <w:rsid w:val="007B7551"/>
    <w:rsid w:val="00822346"/>
    <w:rsid w:val="008244B1"/>
    <w:rsid w:val="0089146F"/>
    <w:rsid w:val="008B016D"/>
    <w:rsid w:val="008B1C24"/>
    <w:rsid w:val="008D160F"/>
    <w:rsid w:val="008E72E2"/>
    <w:rsid w:val="008F69ED"/>
    <w:rsid w:val="00937C75"/>
    <w:rsid w:val="00981583"/>
    <w:rsid w:val="009B401D"/>
    <w:rsid w:val="00A05374"/>
    <w:rsid w:val="00A2710C"/>
    <w:rsid w:val="00A27CAE"/>
    <w:rsid w:val="00A6600F"/>
    <w:rsid w:val="00AD462A"/>
    <w:rsid w:val="00B52288"/>
    <w:rsid w:val="00B56BB5"/>
    <w:rsid w:val="00B65BB6"/>
    <w:rsid w:val="00BD6A13"/>
    <w:rsid w:val="00C1031A"/>
    <w:rsid w:val="00C2008D"/>
    <w:rsid w:val="00C24AB3"/>
    <w:rsid w:val="00C9612B"/>
    <w:rsid w:val="00CA015A"/>
    <w:rsid w:val="00CA2EA1"/>
    <w:rsid w:val="00CB0932"/>
    <w:rsid w:val="00CB5FE5"/>
    <w:rsid w:val="00CB672C"/>
    <w:rsid w:val="00CE6DFA"/>
    <w:rsid w:val="00CE75A0"/>
    <w:rsid w:val="00D86B32"/>
    <w:rsid w:val="00DD6EC6"/>
    <w:rsid w:val="00E330AD"/>
    <w:rsid w:val="00E600F9"/>
    <w:rsid w:val="00E6049D"/>
    <w:rsid w:val="00EB6ED3"/>
    <w:rsid w:val="00ED379C"/>
    <w:rsid w:val="00E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5115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99"/>
    <w:pPr>
      <w:jc w:val="both"/>
    </w:pPr>
    <w:rPr>
      <w:rFonts w:ascii="Arial" w:eastAsia="Times New Roman" w:hAnsi="Arial" w:cs="Times New Roman"/>
      <w:szCs w:val="20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2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2604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6049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6049"/>
    <w:rPr>
      <w:rFonts w:ascii="Arial" w:eastAsia="Times New Roman" w:hAnsi="Arial" w:cs="Times New Roman"/>
      <w:lang w:val="es-ES_tradnl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604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6049"/>
    <w:rPr>
      <w:rFonts w:ascii="Arial" w:eastAsia="Times New Roman" w:hAnsi="Arial" w:cs="Times New Roman"/>
      <w:b/>
      <w:bCs/>
      <w:sz w:val="20"/>
      <w:szCs w:val="20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049"/>
    <w:rPr>
      <w:rFonts w:ascii="Helvetica" w:hAnsi="Helvetica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049"/>
    <w:rPr>
      <w:rFonts w:ascii="Helvetica" w:eastAsia="Times New Roman" w:hAnsi="Helvetica" w:cs="Times New Roman"/>
      <w:sz w:val="18"/>
      <w:szCs w:val="18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CA1CC-1D25-3741-A6EB-9DE32F55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591</Words>
  <Characters>3251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57</cp:revision>
  <dcterms:created xsi:type="dcterms:W3CDTF">2017-01-24T14:28:00Z</dcterms:created>
  <dcterms:modified xsi:type="dcterms:W3CDTF">2018-03-12T20:25:00Z</dcterms:modified>
</cp:coreProperties>
</file>