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3DC04" w14:textId="2BA48548" w:rsidR="00214C6B" w:rsidRDefault="00AB4BC7" w:rsidP="00214C6B">
      <w:pPr>
        <w:jc w:val="left"/>
        <w:rPr>
          <w:rFonts w:cs="Arial"/>
          <w:sz w:val="22"/>
          <w:szCs w:val="22"/>
        </w:rPr>
      </w:pPr>
      <w:r>
        <w:rPr>
          <w:rFonts w:cs="Arial"/>
          <w:sz w:val="22"/>
          <w:szCs w:val="22"/>
        </w:rPr>
        <w:t xml:space="preserve">Por favor hacer una interactividad a partir del modelo: </w:t>
      </w:r>
      <w:r w:rsidR="00D14687">
        <w:rPr>
          <w:rFonts w:cs="Arial"/>
          <w:sz w:val="22"/>
          <w:szCs w:val="22"/>
        </w:rPr>
        <w:t xml:space="preserve">HTML / </w:t>
      </w:r>
      <w:proofErr w:type="spellStart"/>
      <w:r w:rsidR="00D14687">
        <w:rPr>
          <w:rFonts w:cs="Arial"/>
          <w:sz w:val="22"/>
          <w:szCs w:val="22"/>
        </w:rPr>
        <w:t>Slide</w:t>
      </w:r>
      <w:proofErr w:type="spellEnd"/>
      <w:r w:rsidR="00D14687">
        <w:rPr>
          <w:rFonts w:cs="Arial"/>
          <w:sz w:val="22"/>
          <w:szCs w:val="22"/>
        </w:rPr>
        <w:t xml:space="preserve"> texto</w:t>
      </w:r>
      <w:r>
        <w:rPr>
          <w:rFonts w:cs="Arial"/>
          <w:sz w:val="22"/>
          <w:szCs w:val="22"/>
        </w:rPr>
        <w:t>, y de los siguientes textos:</w:t>
      </w:r>
    </w:p>
    <w:p w14:paraId="68CE242E" w14:textId="77777777" w:rsidR="00AB4BC7" w:rsidRDefault="00AB4BC7" w:rsidP="00214C6B">
      <w:pPr>
        <w:jc w:val="left"/>
        <w:rPr>
          <w:rFonts w:cs="Arial"/>
          <w:sz w:val="22"/>
          <w:szCs w:val="22"/>
        </w:rPr>
      </w:pPr>
    </w:p>
    <w:p w14:paraId="38C49C4E" w14:textId="210675B3" w:rsidR="00AB4BC7" w:rsidRDefault="00AB4BC7" w:rsidP="00214C6B">
      <w:pPr>
        <w:jc w:val="left"/>
        <w:rPr>
          <w:rFonts w:cs="Arial"/>
          <w:sz w:val="22"/>
          <w:szCs w:val="22"/>
        </w:rPr>
      </w:pPr>
      <w:r w:rsidRPr="00AB4BC7">
        <w:rPr>
          <w:rFonts w:cs="Arial"/>
          <w:b/>
          <w:sz w:val="22"/>
          <w:szCs w:val="22"/>
        </w:rPr>
        <w:t>Título:</w:t>
      </w:r>
      <w:r>
        <w:rPr>
          <w:rFonts w:cs="Arial"/>
          <w:sz w:val="22"/>
          <w:szCs w:val="22"/>
        </w:rPr>
        <w:t xml:space="preserve"> </w:t>
      </w:r>
      <w:r w:rsidR="00403D47" w:rsidRPr="00403D47">
        <w:rPr>
          <w:rFonts w:cs="Arial"/>
          <w:color w:val="385623" w:themeColor="accent6" w:themeShade="80"/>
          <w:sz w:val="22"/>
          <w:szCs w:val="22"/>
        </w:rPr>
        <w:t xml:space="preserve">Principales instrumentos del </w:t>
      </w:r>
      <w:proofErr w:type="spellStart"/>
      <w:r w:rsidR="00403D47" w:rsidRPr="00403D47">
        <w:rPr>
          <w:rFonts w:cs="Arial"/>
          <w:color w:val="385623" w:themeColor="accent6" w:themeShade="80"/>
          <w:sz w:val="22"/>
          <w:szCs w:val="22"/>
        </w:rPr>
        <w:t>RUA</w:t>
      </w:r>
      <w:proofErr w:type="spellEnd"/>
    </w:p>
    <w:p w14:paraId="3F1CCC0D" w14:textId="77777777" w:rsidR="00AB4BC7" w:rsidRDefault="00AB4BC7" w:rsidP="00214C6B">
      <w:pPr>
        <w:jc w:val="left"/>
        <w:rPr>
          <w:rFonts w:cs="Arial"/>
          <w:sz w:val="22"/>
          <w:szCs w:val="22"/>
        </w:rPr>
      </w:pPr>
    </w:p>
    <w:p w14:paraId="4ECCE2F1" w14:textId="252B17B0" w:rsidR="00AB4BC7" w:rsidRPr="00AB4BC7" w:rsidRDefault="00AB4BC7" w:rsidP="00214C6B">
      <w:pPr>
        <w:jc w:val="left"/>
        <w:rPr>
          <w:rFonts w:cs="Arial"/>
          <w:b/>
          <w:sz w:val="22"/>
          <w:szCs w:val="22"/>
        </w:rPr>
      </w:pPr>
      <w:r w:rsidRPr="00AB4BC7">
        <w:rPr>
          <w:rFonts w:cs="Arial"/>
          <w:b/>
          <w:sz w:val="22"/>
          <w:szCs w:val="22"/>
        </w:rPr>
        <w:t>Textos:</w:t>
      </w:r>
    </w:p>
    <w:p w14:paraId="13B3E9EB" w14:textId="77777777" w:rsidR="00214C6B" w:rsidRDefault="00214C6B" w:rsidP="00214C6B">
      <w:pPr>
        <w:jc w:val="left"/>
        <w:rPr>
          <w:rFonts w:cs="Arial"/>
          <w:sz w:val="22"/>
          <w:szCs w:val="22"/>
        </w:rPr>
      </w:pPr>
    </w:p>
    <w:tbl>
      <w:tblPr>
        <w:tblStyle w:val="Tablaconcuadrcula"/>
        <w:tblW w:w="0" w:type="auto"/>
        <w:tblLook w:val="04A0" w:firstRow="1" w:lastRow="0" w:firstColumn="1" w:lastColumn="0" w:noHBand="0" w:noVBand="1"/>
      </w:tblPr>
      <w:tblGrid>
        <w:gridCol w:w="2689"/>
        <w:gridCol w:w="7087"/>
        <w:gridCol w:w="3118"/>
      </w:tblGrid>
      <w:tr w:rsidR="00403D47" w:rsidRPr="00E76BB4" w14:paraId="2C3456B7" w14:textId="77777777" w:rsidTr="00E76BB4">
        <w:tc>
          <w:tcPr>
            <w:tcW w:w="2689" w:type="dxa"/>
            <w:vAlign w:val="center"/>
          </w:tcPr>
          <w:p w14:paraId="42840F4B" w14:textId="6698E322" w:rsidR="00403D47" w:rsidRPr="00E76BB4" w:rsidRDefault="00403D47" w:rsidP="00403D47">
            <w:pPr>
              <w:jc w:val="center"/>
              <w:rPr>
                <w:rFonts w:cs="Arial"/>
                <w:b/>
                <w:sz w:val="18"/>
                <w:szCs w:val="18"/>
              </w:rPr>
            </w:pPr>
            <w:r w:rsidRPr="00E76BB4">
              <w:rPr>
                <w:rFonts w:cs="Arial"/>
                <w:b/>
                <w:sz w:val="18"/>
                <w:szCs w:val="18"/>
              </w:rPr>
              <w:t>Título</w:t>
            </w:r>
          </w:p>
        </w:tc>
        <w:tc>
          <w:tcPr>
            <w:tcW w:w="7087" w:type="dxa"/>
            <w:vAlign w:val="center"/>
          </w:tcPr>
          <w:p w14:paraId="5F4B8F2E" w14:textId="124E87C4" w:rsidR="00403D47" w:rsidRPr="00E76BB4" w:rsidRDefault="00403D47" w:rsidP="00403D47">
            <w:pPr>
              <w:jc w:val="center"/>
              <w:rPr>
                <w:rFonts w:cs="Arial"/>
                <w:b/>
                <w:sz w:val="18"/>
                <w:szCs w:val="18"/>
              </w:rPr>
            </w:pPr>
            <w:r w:rsidRPr="00E76BB4">
              <w:rPr>
                <w:rFonts w:cs="Arial"/>
                <w:b/>
                <w:sz w:val="18"/>
                <w:szCs w:val="18"/>
              </w:rPr>
              <w:t>Texto</w:t>
            </w:r>
          </w:p>
        </w:tc>
        <w:tc>
          <w:tcPr>
            <w:tcW w:w="3118" w:type="dxa"/>
            <w:vAlign w:val="center"/>
          </w:tcPr>
          <w:p w14:paraId="70C0B6DE" w14:textId="34E66449" w:rsidR="00403D47" w:rsidRPr="00E76BB4" w:rsidRDefault="00403D47" w:rsidP="00403D47">
            <w:pPr>
              <w:jc w:val="center"/>
              <w:rPr>
                <w:rFonts w:cs="Arial"/>
                <w:b/>
                <w:sz w:val="18"/>
                <w:szCs w:val="18"/>
              </w:rPr>
            </w:pPr>
            <w:r w:rsidRPr="00E76BB4">
              <w:rPr>
                <w:rFonts w:cs="Arial"/>
                <w:b/>
                <w:sz w:val="18"/>
                <w:szCs w:val="18"/>
              </w:rPr>
              <w:t>Imagen</w:t>
            </w:r>
          </w:p>
        </w:tc>
      </w:tr>
      <w:tr w:rsidR="00403D47" w:rsidRPr="00E76BB4" w14:paraId="54A2BF2D" w14:textId="77777777" w:rsidTr="00E76BB4">
        <w:tc>
          <w:tcPr>
            <w:tcW w:w="2689" w:type="dxa"/>
            <w:vAlign w:val="center"/>
          </w:tcPr>
          <w:p w14:paraId="6EEF6BE4" w14:textId="28D7E3BE" w:rsidR="00403D47" w:rsidRPr="00E76BB4" w:rsidRDefault="00403D47" w:rsidP="00214C6B">
            <w:pPr>
              <w:jc w:val="left"/>
              <w:rPr>
                <w:rFonts w:cs="Arial"/>
                <w:b/>
                <w:color w:val="385623" w:themeColor="accent6" w:themeShade="80"/>
                <w:sz w:val="18"/>
                <w:szCs w:val="18"/>
              </w:rPr>
            </w:pPr>
            <w:r w:rsidRPr="00E76BB4">
              <w:rPr>
                <w:rFonts w:cs="Arial"/>
                <w:b/>
                <w:color w:val="385623" w:themeColor="accent6" w:themeShade="80"/>
                <w:sz w:val="18"/>
                <w:szCs w:val="18"/>
              </w:rPr>
              <w:t>Guías ambientales del Ministerio de Ambiente y Desarrollo Sostenible</w:t>
            </w:r>
          </w:p>
        </w:tc>
        <w:tc>
          <w:tcPr>
            <w:tcW w:w="7087" w:type="dxa"/>
            <w:vAlign w:val="center"/>
          </w:tcPr>
          <w:p w14:paraId="184D020F" w14:textId="77777777" w:rsidR="00403D47" w:rsidRPr="00E76BB4" w:rsidRDefault="00403D47" w:rsidP="00403D47">
            <w:pPr>
              <w:jc w:val="left"/>
              <w:rPr>
                <w:rFonts w:cs="Arial"/>
                <w:color w:val="385623" w:themeColor="accent6" w:themeShade="80"/>
                <w:sz w:val="18"/>
                <w:szCs w:val="18"/>
              </w:rPr>
            </w:pPr>
            <w:r w:rsidRPr="00E76BB4">
              <w:rPr>
                <w:rFonts w:cs="Arial"/>
                <w:color w:val="385623" w:themeColor="accent6" w:themeShade="80"/>
                <w:sz w:val="18"/>
                <w:szCs w:val="18"/>
              </w:rPr>
              <w:t>Las guías ambientales del Ministerio de Ambiente y Desarrollo Sostenible fueron adoptadas por medio de la Resolución 1023 de 2005, en la que se estipula que las guías son documentos técnicos de orientación conceptual, metodológica y procedimental, para apoyar la gestión, manejo y desempeño medioambiental de los proyectos, obras o actividades de las distintas actividades económicas.</w:t>
            </w:r>
          </w:p>
          <w:p w14:paraId="5D54BFCE" w14:textId="77777777" w:rsidR="00403D47" w:rsidRPr="00E76BB4" w:rsidRDefault="00403D47" w:rsidP="00403D47">
            <w:pPr>
              <w:jc w:val="left"/>
              <w:rPr>
                <w:rFonts w:cs="Arial"/>
                <w:color w:val="385623" w:themeColor="accent6" w:themeShade="80"/>
                <w:sz w:val="18"/>
                <w:szCs w:val="18"/>
              </w:rPr>
            </w:pPr>
          </w:p>
          <w:p w14:paraId="720AF99E" w14:textId="18C61619" w:rsidR="00403D47" w:rsidRPr="00E76BB4" w:rsidRDefault="00403D47" w:rsidP="00E76BB4">
            <w:pPr>
              <w:ind w:left="1440"/>
              <w:jc w:val="left"/>
              <w:rPr>
                <w:rFonts w:cs="Arial"/>
                <w:color w:val="385623" w:themeColor="accent6" w:themeShade="80"/>
                <w:sz w:val="18"/>
                <w:szCs w:val="18"/>
              </w:rPr>
            </w:pPr>
            <w:r w:rsidRPr="00E76BB4">
              <w:rPr>
                <w:rFonts w:cs="Arial"/>
                <w:color w:val="385623" w:themeColor="accent6" w:themeShade="80"/>
                <w:sz w:val="18"/>
                <w:szCs w:val="18"/>
              </w:rPr>
              <w:t xml:space="preserve">Durante el control y seguimiento de los proyectos, obras o actividades sujetos a licencia ambiental, permisos, concesiones y/o autorizaciones, las Autoridades Ambientales Competentes podrán verificar la implementación de lo dispuesto en las guías ambientales y efectuar a los usuarios las recomendaciones a que haya lugar (Resolución 1023, </w:t>
            </w:r>
            <w:r w:rsidR="008E46E0">
              <w:rPr>
                <w:rFonts w:cs="Arial"/>
                <w:color w:val="385623" w:themeColor="accent6" w:themeShade="80"/>
                <w:sz w:val="18"/>
                <w:szCs w:val="18"/>
              </w:rPr>
              <w:t xml:space="preserve">2005, </w:t>
            </w:r>
            <w:r w:rsidRPr="00E76BB4">
              <w:rPr>
                <w:rFonts w:cs="Arial"/>
                <w:color w:val="385623" w:themeColor="accent6" w:themeShade="80"/>
                <w:sz w:val="18"/>
                <w:szCs w:val="18"/>
              </w:rPr>
              <w:t>art. 5).</w:t>
            </w:r>
          </w:p>
        </w:tc>
        <w:tc>
          <w:tcPr>
            <w:tcW w:w="3118" w:type="dxa"/>
            <w:vAlign w:val="center"/>
          </w:tcPr>
          <w:p w14:paraId="2A1722E7" w14:textId="77777777" w:rsidR="00403D47" w:rsidRPr="00E76BB4" w:rsidRDefault="00403D47" w:rsidP="00214C6B">
            <w:pPr>
              <w:jc w:val="left"/>
              <w:rPr>
                <w:rFonts w:cs="Arial"/>
                <w:sz w:val="18"/>
                <w:szCs w:val="18"/>
              </w:rPr>
            </w:pPr>
          </w:p>
        </w:tc>
      </w:tr>
      <w:tr w:rsidR="00403D47" w:rsidRPr="00E76BB4" w14:paraId="19160FA6" w14:textId="77777777" w:rsidTr="00E76BB4">
        <w:tc>
          <w:tcPr>
            <w:tcW w:w="2689" w:type="dxa"/>
            <w:vAlign w:val="center"/>
          </w:tcPr>
          <w:p w14:paraId="028CF13A" w14:textId="66402EE3" w:rsidR="00403D47" w:rsidRPr="00E76BB4" w:rsidRDefault="00403D47" w:rsidP="00214C6B">
            <w:pPr>
              <w:jc w:val="left"/>
              <w:rPr>
                <w:rFonts w:cs="Arial"/>
                <w:b/>
                <w:color w:val="385623" w:themeColor="accent6" w:themeShade="80"/>
                <w:sz w:val="18"/>
                <w:szCs w:val="18"/>
              </w:rPr>
            </w:pPr>
            <w:r w:rsidRPr="00E76BB4">
              <w:rPr>
                <w:rFonts w:cs="Arial"/>
                <w:b/>
                <w:color w:val="385623" w:themeColor="accent6" w:themeShade="80"/>
                <w:sz w:val="18"/>
                <w:szCs w:val="18"/>
              </w:rPr>
              <w:t>Comparendo ambiental</w:t>
            </w:r>
          </w:p>
        </w:tc>
        <w:tc>
          <w:tcPr>
            <w:tcW w:w="7087" w:type="dxa"/>
            <w:vAlign w:val="center"/>
          </w:tcPr>
          <w:p w14:paraId="7F899E20" w14:textId="77777777" w:rsidR="00403D47" w:rsidRPr="00E76BB4" w:rsidRDefault="00403D47" w:rsidP="00403D47">
            <w:pPr>
              <w:jc w:val="left"/>
              <w:rPr>
                <w:rFonts w:cs="Arial"/>
                <w:color w:val="385623" w:themeColor="accent6" w:themeShade="80"/>
                <w:sz w:val="18"/>
                <w:szCs w:val="18"/>
              </w:rPr>
            </w:pPr>
            <w:r w:rsidRPr="00E76BB4">
              <w:rPr>
                <w:rFonts w:cs="Arial"/>
                <w:color w:val="385623" w:themeColor="accent6" w:themeShade="80"/>
                <w:sz w:val="18"/>
                <w:szCs w:val="18"/>
              </w:rPr>
              <w:t>El comparendo ambiental es el mecanismo mediante el cual, el Estado impone sanciones a las personas naturales o jurídicas que no cumplan la normativa nacional en temas medioambientales, sin importar la actividad económica que desempeñen.</w:t>
            </w:r>
          </w:p>
          <w:p w14:paraId="5D8429E2" w14:textId="77777777" w:rsidR="00403D47" w:rsidRPr="00E76BB4" w:rsidRDefault="00403D47" w:rsidP="00403D47">
            <w:pPr>
              <w:jc w:val="left"/>
              <w:rPr>
                <w:rFonts w:cs="Arial"/>
                <w:color w:val="385623" w:themeColor="accent6" w:themeShade="80"/>
                <w:sz w:val="18"/>
                <w:szCs w:val="18"/>
              </w:rPr>
            </w:pPr>
          </w:p>
          <w:p w14:paraId="740EE34F" w14:textId="40C8A6E7" w:rsidR="00403D47" w:rsidRPr="00E76BB4" w:rsidRDefault="00403D47" w:rsidP="000546A4">
            <w:pPr>
              <w:jc w:val="left"/>
              <w:rPr>
                <w:rFonts w:cs="Arial"/>
                <w:color w:val="385623" w:themeColor="accent6" w:themeShade="80"/>
                <w:sz w:val="18"/>
                <w:szCs w:val="18"/>
              </w:rPr>
            </w:pPr>
            <w:r w:rsidRPr="00E76BB4">
              <w:rPr>
                <w:rFonts w:cs="Arial"/>
                <w:color w:val="385623" w:themeColor="accent6" w:themeShade="80"/>
                <w:sz w:val="18"/>
                <w:szCs w:val="18"/>
              </w:rPr>
              <w:t xml:space="preserve">Fue creado por medio de la Ley 1259 de 2008 en la que se estableció la aplicación de un comparendo a los infractores de las normas de aseo, limpieza y recolección de escombros, por medio de sanciones pedagógicas y económicas. Sin embargo, esta norma fue modificada por la Corte Constitucional, la cual estableció que «la imposición del comparendo ambiental no podrá impedir el ejercicio efectivo de la actividad realizada por los recicladores informales» (Sentencia C-793, 2009). En la actualidad la norma </w:t>
            </w:r>
            <w:r w:rsidR="00A00219" w:rsidRPr="00E76BB4">
              <w:rPr>
                <w:rFonts w:cs="Arial"/>
                <w:color w:val="385623" w:themeColor="accent6" w:themeShade="80"/>
                <w:sz w:val="18"/>
                <w:szCs w:val="18"/>
              </w:rPr>
              <w:t>vigente</w:t>
            </w:r>
            <w:r w:rsidRPr="00E76BB4">
              <w:rPr>
                <w:rFonts w:cs="Arial"/>
                <w:color w:val="385623" w:themeColor="accent6" w:themeShade="80"/>
                <w:sz w:val="18"/>
                <w:szCs w:val="18"/>
              </w:rPr>
              <w:t xml:space="preserve"> que abarca todos estos temas es la Ley 1466 de 2011.</w:t>
            </w:r>
          </w:p>
        </w:tc>
        <w:tc>
          <w:tcPr>
            <w:tcW w:w="3118" w:type="dxa"/>
            <w:vAlign w:val="center"/>
          </w:tcPr>
          <w:p w14:paraId="7A33321A" w14:textId="564B0F78" w:rsidR="00403D47" w:rsidRPr="00E76BB4" w:rsidRDefault="001F1E85" w:rsidP="00214C6B">
            <w:pPr>
              <w:jc w:val="left"/>
              <w:rPr>
                <w:rFonts w:cs="Arial"/>
                <w:sz w:val="18"/>
                <w:szCs w:val="18"/>
              </w:rPr>
            </w:pPr>
            <w:r>
              <w:rPr>
                <w:rFonts w:cs="Arial"/>
                <w:color w:val="385623" w:themeColor="accent6" w:themeShade="80"/>
                <w:sz w:val="18"/>
                <w:szCs w:val="18"/>
              </w:rPr>
              <w:t>Figura 1</w:t>
            </w:r>
            <w:r w:rsidR="00E76BB4" w:rsidRPr="00E76BB4">
              <w:rPr>
                <w:rFonts w:cs="Arial"/>
                <w:color w:val="385623" w:themeColor="accent6" w:themeShade="80"/>
                <w:sz w:val="18"/>
                <w:szCs w:val="18"/>
              </w:rPr>
              <w:t>.</w:t>
            </w:r>
          </w:p>
        </w:tc>
      </w:tr>
      <w:tr w:rsidR="00403D47" w:rsidRPr="00E76BB4" w14:paraId="56B4EF2A" w14:textId="77777777" w:rsidTr="00E76BB4">
        <w:tc>
          <w:tcPr>
            <w:tcW w:w="2689" w:type="dxa"/>
            <w:vAlign w:val="center"/>
          </w:tcPr>
          <w:p w14:paraId="7E63250C" w14:textId="60BC4135" w:rsidR="00403D47" w:rsidRPr="00E76BB4" w:rsidRDefault="00403D47" w:rsidP="00214C6B">
            <w:pPr>
              <w:jc w:val="left"/>
              <w:rPr>
                <w:rFonts w:cs="Arial"/>
                <w:b/>
                <w:color w:val="385623" w:themeColor="accent6" w:themeShade="80"/>
                <w:sz w:val="18"/>
                <w:szCs w:val="18"/>
              </w:rPr>
            </w:pPr>
            <w:r w:rsidRPr="00E76BB4">
              <w:rPr>
                <w:rFonts w:cs="Arial"/>
                <w:b/>
                <w:color w:val="385623" w:themeColor="accent6" w:themeShade="80"/>
                <w:sz w:val="18"/>
                <w:szCs w:val="18"/>
              </w:rPr>
              <w:t>Instrumentos económicos, financieros y tributarios</w:t>
            </w:r>
          </w:p>
        </w:tc>
        <w:tc>
          <w:tcPr>
            <w:tcW w:w="7087" w:type="dxa"/>
            <w:vAlign w:val="center"/>
          </w:tcPr>
          <w:p w14:paraId="4B3B77BF" w14:textId="35701951" w:rsidR="00E76BB4" w:rsidRPr="00E76BB4" w:rsidRDefault="00E76BB4" w:rsidP="00E76BB4">
            <w:pPr>
              <w:jc w:val="left"/>
              <w:rPr>
                <w:rFonts w:cs="Arial"/>
                <w:color w:val="385623" w:themeColor="accent6" w:themeShade="80"/>
                <w:sz w:val="18"/>
                <w:szCs w:val="18"/>
              </w:rPr>
            </w:pPr>
            <w:r w:rsidRPr="00E76BB4">
              <w:rPr>
                <w:rFonts w:cs="Arial"/>
                <w:color w:val="385623" w:themeColor="accent6" w:themeShade="80"/>
                <w:sz w:val="18"/>
                <w:szCs w:val="18"/>
              </w:rPr>
              <w:t xml:space="preserve">De acuerdo con Barreto (2011), estos instrumentos se catalogan como herramientas de apoyo para la protección medioambiental o su posible explotación, dependiendo del caso específico. El Sistema de Gestión Ambiental Municipal de Colombia </w:t>
            </w:r>
            <w:r w:rsidR="002946C2">
              <w:rPr>
                <w:rFonts w:cs="Arial"/>
                <w:color w:val="385623" w:themeColor="accent6" w:themeShade="80"/>
                <w:sz w:val="18"/>
                <w:szCs w:val="18"/>
              </w:rPr>
              <w:t>(</w:t>
            </w:r>
            <w:proofErr w:type="spellStart"/>
            <w:r w:rsidRPr="00E76BB4">
              <w:rPr>
                <w:rFonts w:cs="Arial"/>
                <w:color w:val="385623" w:themeColor="accent6" w:themeShade="80"/>
                <w:sz w:val="18"/>
                <w:szCs w:val="18"/>
              </w:rPr>
              <w:t>S</w:t>
            </w:r>
            <w:r w:rsidR="002946C2" w:rsidRPr="00E76BB4">
              <w:rPr>
                <w:rFonts w:cs="Arial"/>
                <w:color w:val="385623" w:themeColor="accent6" w:themeShade="80"/>
                <w:sz w:val="18"/>
                <w:szCs w:val="18"/>
              </w:rPr>
              <w:t>igam</w:t>
            </w:r>
            <w:proofErr w:type="spellEnd"/>
            <w:r w:rsidR="002946C2">
              <w:rPr>
                <w:rFonts w:cs="Arial"/>
                <w:color w:val="385623" w:themeColor="accent6" w:themeShade="80"/>
                <w:sz w:val="18"/>
                <w:szCs w:val="18"/>
              </w:rPr>
              <w:t>)</w:t>
            </w:r>
            <w:r w:rsidRPr="00E76BB4">
              <w:rPr>
                <w:rFonts w:cs="Arial"/>
                <w:color w:val="385623" w:themeColor="accent6" w:themeShade="80"/>
                <w:sz w:val="18"/>
                <w:szCs w:val="18"/>
              </w:rPr>
              <w:t xml:space="preserve"> los clasifica de la siguiente manera:</w:t>
            </w:r>
          </w:p>
          <w:p w14:paraId="436DB4E6" w14:textId="77777777" w:rsidR="00E76BB4" w:rsidRPr="00E76BB4" w:rsidRDefault="00E76BB4" w:rsidP="00E76BB4">
            <w:pPr>
              <w:jc w:val="left"/>
              <w:rPr>
                <w:rFonts w:cs="Arial"/>
                <w:color w:val="385623" w:themeColor="accent6" w:themeShade="80"/>
                <w:sz w:val="18"/>
                <w:szCs w:val="18"/>
              </w:rPr>
            </w:pPr>
          </w:p>
          <w:p w14:paraId="62C1C594" w14:textId="77777777" w:rsidR="00E76BB4" w:rsidRPr="00E76BB4" w:rsidRDefault="00E76BB4" w:rsidP="00E76BB4">
            <w:pPr>
              <w:jc w:val="left"/>
              <w:rPr>
                <w:rFonts w:cs="Arial"/>
                <w:color w:val="385623" w:themeColor="accent6" w:themeShade="80"/>
                <w:sz w:val="18"/>
                <w:szCs w:val="18"/>
              </w:rPr>
            </w:pPr>
            <w:r w:rsidRPr="00E76BB4">
              <w:rPr>
                <w:rFonts w:cs="Arial"/>
                <w:b/>
                <w:color w:val="385623" w:themeColor="accent6" w:themeShade="80"/>
                <w:sz w:val="18"/>
                <w:szCs w:val="18"/>
              </w:rPr>
              <w:t>Instrumentos económicos:</w:t>
            </w:r>
            <w:r w:rsidRPr="00E76BB4">
              <w:rPr>
                <w:rFonts w:cs="Arial"/>
                <w:color w:val="385623" w:themeColor="accent6" w:themeShade="80"/>
                <w:sz w:val="18"/>
                <w:szCs w:val="18"/>
              </w:rPr>
              <w:t xml:space="preserve"> son aquellos que buscan cambiar el comportamiento de los agentes regulados para alcanzar objetivos como el uso eficiente de los recursos naturales o la disminución de la contaminación en los procesos de producción. Estos instrumentos son llamados «de subsidio» porque generan incentivos por la implementación de buenas prácticas ambientales.</w:t>
            </w:r>
          </w:p>
          <w:p w14:paraId="3EC5996E" w14:textId="77777777" w:rsidR="00E76BB4" w:rsidRPr="00E76BB4" w:rsidRDefault="00E76BB4" w:rsidP="00E76BB4">
            <w:pPr>
              <w:jc w:val="left"/>
              <w:rPr>
                <w:rFonts w:cs="Arial"/>
                <w:color w:val="385623" w:themeColor="accent6" w:themeShade="80"/>
                <w:sz w:val="18"/>
                <w:szCs w:val="18"/>
              </w:rPr>
            </w:pPr>
          </w:p>
          <w:p w14:paraId="3D9BE28F" w14:textId="77777777" w:rsidR="00E76BB4" w:rsidRPr="00E76BB4" w:rsidRDefault="00E76BB4" w:rsidP="00E76BB4">
            <w:pPr>
              <w:jc w:val="left"/>
              <w:rPr>
                <w:rFonts w:cs="Arial"/>
                <w:color w:val="385623" w:themeColor="accent6" w:themeShade="80"/>
                <w:sz w:val="18"/>
                <w:szCs w:val="18"/>
              </w:rPr>
            </w:pPr>
            <w:r w:rsidRPr="00E76BB4">
              <w:rPr>
                <w:rFonts w:cs="Arial"/>
                <w:b/>
                <w:color w:val="385623" w:themeColor="accent6" w:themeShade="80"/>
                <w:sz w:val="18"/>
                <w:szCs w:val="18"/>
              </w:rPr>
              <w:lastRenderedPageBreak/>
              <w:t>Instrumentos financieros:</w:t>
            </w:r>
            <w:r w:rsidRPr="00E76BB4">
              <w:rPr>
                <w:rFonts w:cs="Arial"/>
                <w:color w:val="385623" w:themeColor="accent6" w:themeShade="80"/>
                <w:sz w:val="18"/>
                <w:szCs w:val="18"/>
              </w:rPr>
              <w:t xml:space="preserve"> son los instrumentos utilizados para la recaudación de dineros que financiarán la gestión ambiental y el desarrollo de los planes medioambientales. Hacen parte de los impuestos que pagan las empresas.</w:t>
            </w:r>
          </w:p>
          <w:p w14:paraId="204F5A5F" w14:textId="77777777" w:rsidR="00E76BB4" w:rsidRPr="00E76BB4" w:rsidRDefault="00E76BB4" w:rsidP="00E76BB4">
            <w:pPr>
              <w:jc w:val="left"/>
              <w:rPr>
                <w:rFonts w:cs="Arial"/>
                <w:color w:val="385623" w:themeColor="accent6" w:themeShade="80"/>
                <w:sz w:val="18"/>
                <w:szCs w:val="18"/>
              </w:rPr>
            </w:pPr>
          </w:p>
          <w:p w14:paraId="3C914415" w14:textId="142ADA71" w:rsidR="00403D47" w:rsidRPr="00E76BB4" w:rsidRDefault="00E76BB4" w:rsidP="00214C6B">
            <w:pPr>
              <w:jc w:val="left"/>
              <w:rPr>
                <w:rFonts w:cs="Arial"/>
                <w:color w:val="385623" w:themeColor="accent6" w:themeShade="80"/>
                <w:sz w:val="18"/>
                <w:szCs w:val="18"/>
              </w:rPr>
            </w:pPr>
            <w:r w:rsidRPr="00E76BB4">
              <w:rPr>
                <w:rFonts w:cs="Arial"/>
                <w:b/>
                <w:color w:val="385623" w:themeColor="accent6" w:themeShade="80"/>
                <w:sz w:val="18"/>
                <w:szCs w:val="18"/>
              </w:rPr>
              <w:t>Instrumentos o incentivos tributarios:</w:t>
            </w:r>
            <w:r w:rsidRPr="00E76BB4">
              <w:rPr>
                <w:rFonts w:cs="Arial"/>
                <w:color w:val="385623" w:themeColor="accent6" w:themeShade="80"/>
                <w:sz w:val="18"/>
                <w:szCs w:val="18"/>
              </w:rPr>
              <w:t xml:space="preserve"> son beneficios tributarios otorgados a personas naturales o jurídicas que generan impactos positivos en el medioambiente. También se conocen como sistema de depósito o de reembolso, dependiendo del proyecto medioambiental que se desarrolla.</w:t>
            </w:r>
          </w:p>
        </w:tc>
        <w:tc>
          <w:tcPr>
            <w:tcW w:w="3118" w:type="dxa"/>
            <w:vAlign w:val="center"/>
          </w:tcPr>
          <w:p w14:paraId="2BEDA3E2" w14:textId="77777777" w:rsidR="00403D47" w:rsidRPr="00E76BB4" w:rsidRDefault="00403D47" w:rsidP="00214C6B">
            <w:pPr>
              <w:jc w:val="left"/>
              <w:rPr>
                <w:rFonts w:cs="Arial"/>
                <w:sz w:val="18"/>
                <w:szCs w:val="18"/>
              </w:rPr>
            </w:pPr>
          </w:p>
        </w:tc>
      </w:tr>
    </w:tbl>
    <w:p w14:paraId="0FDE0555" w14:textId="77777777" w:rsidR="00403D47" w:rsidRDefault="00403D47" w:rsidP="00214C6B">
      <w:pPr>
        <w:jc w:val="left"/>
        <w:rPr>
          <w:rFonts w:cs="Arial"/>
          <w:sz w:val="22"/>
          <w:szCs w:val="22"/>
        </w:rPr>
      </w:pPr>
    </w:p>
    <w:p w14:paraId="537F5549" w14:textId="65A2D3FA" w:rsidR="00403D47" w:rsidRPr="001F1E85" w:rsidRDefault="001F1E85" w:rsidP="00214C6B">
      <w:pPr>
        <w:jc w:val="left"/>
        <w:rPr>
          <w:rFonts w:cs="Arial"/>
          <w:b/>
          <w:sz w:val="22"/>
          <w:szCs w:val="22"/>
        </w:rPr>
      </w:pPr>
      <w:r w:rsidRPr="001F1E85">
        <w:rPr>
          <w:rFonts w:cs="Arial"/>
          <w:b/>
          <w:sz w:val="22"/>
          <w:szCs w:val="22"/>
        </w:rPr>
        <w:t>Figura 1.</w:t>
      </w:r>
    </w:p>
    <w:p w14:paraId="32AB0440" w14:textId="01E33137" w:rsidR="001F1E85" w:rsidRPr="00AB4BC7" w:rsidRDefault="001F1E85" w:rsidP="00214C6B">
      <w:pPr>
        <w:jc w:val="left"/>
        <w:rPr>
          <w:rFonts w:cs="Arial"/>
          <w:sz w:val="22"/>
          <w:szCs w:val="22"/>
        </w:rPr>
      </w:pPr>
    </w:p>
    <w:p w14:paraId="7821A31A" w14:textId="25BA7CAD" w:rsidR="00214C6B" w:rsidRPr="0018000E" w:rsidRDefault="00F54B4D" w:rsidP="00214C6B">
      <w:pPr>
        <w:jc w:val="left"/>
        <w:rPr>
          <w:rFonts w:cs="Arial"/>
          <w:b/>
          <w:color w:val="385623"/>
          <w:sz w:val="22"/>
          <w:szCs w:val="22"/>
        </w:rPr>
      </w:pPr>
      <w:r w:rsidRPr="00F54B4D">
        <w:rPr>
          <w:rFonts w:cs="Arial"/>
          <w:b/>
          <w:noProof/>
          <w:color w:val="385623"/>
          <w:sz w:val="22"/>
          <w:szCs w:val="22"/>
          <w:lang w:val="es-ES" w:eastAsia="es-ES"/>
        </w:rPr>
        <w:drawing>
          <wp:inline distT="0" distB="0" distL="0" distR="0" wp14:anchorId="7E4DCCD7" wp14:editId="04B22093">
            <wp:extent cx="3039564" cy="2364136"/>
            <wp:effectExtent l="0" t="0" r="889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4" cstate="print">
                      <a:extLst>
                        <a:ext uri="{28A0092B-C50C-407E-A947-70E740481C1C}">
                          <a14:useLocalDpi xmlns:a14="http://schemas.microsoft.com/office/drawing/2010/main" val="0"/>
                        </a:ext>
                      </a:extLst>
                    </a:blip>
                    <a:srcRect l="11911" t="10667" r="43619" b="27843"/>
                    <a:stretch/>
                  </pic:blipFill>
                  <pic:spPr>
                    <a:xfrm>
                      <a:off x="0" y="0"/>
                      <a:ext cx="3043756" cy="2367396"/>
                    </a:xfrm>
                    <a:prstGeom prst="rect">
                      <a:avLst/>
                    </a:prstGeom>
                  </pic:spPr>
                </pic:pic>
              </a:graphicData>
            </a:graphic>
          </wp:inline>
        </w:drawing>
      </w:r>
    </w:p>
    <w:p w14:paraId="6A30035F" w14:textId="367CD82D" w:rsidR="00214C6B" w:rsidRPr="00593736" w:rsidRDefault="00214C6B" w:rsidP="00214C6B">
      <w:pPr>
        <w:jc w:val="left"/>
        <w:rPr>
          <w:rFonts w:cs="Arial"/>
          <w:b/>
          <w:sz w:val="22"/>
          <w:szCs w:val="22"/>
        </w:rPr>
      </w:pPr>
    </w:p>
    <w:p w14:paraId="4EFE373E" w14:textId="5BDEFAF6" w:rsidR="00214C6B" w:rsidRPr="00593736" w:rsidRDefault="001F1E85" w:rsidP="00214C6B">
      <w:pPr>
        <w:jc w:val="left"/>
        <w:rPr>
          <w:rFonts w:cs="Arial"/>
          <w:sz w:val="22"/>
          <w:szCs w:val="22"/>
        </w:rPr>
      </w:pPr>
      <w:r w:rsidRPr="00593736">
        <w:rPr>
          <w:rFonts w:cs="Arial"/>
          <w:sz w:val="22"/>
          <w:szCs w:val="22"/>
        </w:rPr>
        <w:t>Textos de la figura:</w:t>
      </w:r>
    </w:p>
    <w:p w14:paraId="526A878D" w14:textId="77777777" w:rsidR="001F1E85" w:rsidRPr="00593736" w:rsidRDefault="001F1E85" w:rsidP="00214C6B">
      <w:pPr>
        <w:jc w:val="left"/>
        <w:rPr>
          <w:rFonts w:cs="Arial"/>
          <w:sz w:val="22"/>
          <w:szCs w:val="22"/>
        </w:rPr>
      </w:pPr>
    </w:p>
    <w:p w14:paraId="144E9C9E" w14:textId="3B808A8A" w:rsidR="001F1E85" w:rsidRPr="00A00219" w:rsidRDefault="001F1E85" w:rsidP="00214C6B">
      <w:pPr>
        <w:jc w:val="left"/>
        <w:rPr>
          <w:rFonts w:cs="Arial"/>
          <w:color w:val="385623" w:themeColor="accent6" w:themeShade="80"/>
          <w:sz w:val="22"/>
          <w:szCs w:val="22"/>
        </w:rPr>
      </w:pPr>
      <w:r w:rsidRPr="00A00219">
        <w:rPr>
          <w:rFonts w:cs="Arial"/>
          <w:color w:val="385623" w:themeColor="accent6" w:themeShade="80"/>
          <w:sz w:val="22"/>
          <w:szCs w:val="22"/>
        </w:rPr>
        <w:t>Comparendo ambiental</w:t>
      </w:r>
    </w:p>
    <w:p w14:paraId="671F9DC9" w14:textId="77777777" w:rsidR="001F1E85" w:rsidRPr="00A00219" w:rsidRDefault="001F1E85" w:rsidP="00214C6B">
      <w:pPr>
        <w:jc w:val="left"/>
        <w:rPr>
          <w:rFonts w:cs="Arial"/>
          <w:color w:val="385623" w:themeColor="accent6" w:themeShade="80"/>
          <w:sz w:val="22"/>
          <w:szCs w:val="22"/>
        </w:rPr>
      </w:pPr>
    </w:p>
    <w:p w14:paraId="4D4F97FD" w14:textId="4235E4CD" w:rsidR="001F1E85" w:rsidRPr="00A00219" w:rsidRDefault="001F1E85" w:rsidP="00214C6B">
      <w:pPr>
        <w:jc w:val="left"/>
        <w:rPr>
          <w:rFonts w:cs="Arial"/>
          <w:color w:val="385623" w:themeColor="accent6" w:themeShade="80"/>
          <w:sz w:val="22"/>
          <w:szCs w:val="22"/>
        </w:rPr>
      </w:pPr>
      <w:r w:rsidRPr="00A00219">
        <w:rPr>
          <w:rFonts w:cs="Arial"/>
          <w:color w:val="385623" w:themeColor="accent6" w:themeShade="80"/>
          <w:sz w:val="22"/>
          <w:szCs w:val="22"/>
        </w:rPr>
        <w:t>¿Cómo incumplo la ley?</w:t>
      </w:r>
    </w:p>
    <w:p w14:paraId="25F3AA6D" w14:textId="77777777" w:rsidR="00214C6B" w:rsidRPr="00A00219" w:rsidRDefault="00214C6B" w:rsidP="00214C6B">
      <w:pPr>
        <w:jc w:val="left"/>
        <w:rPr>
          <w:rFonts w:cs="Arial"/>
          <w:color w:val="385623" w:themeColor="accent6" w:themeShade="80"/>
          <w:sz w:val="22"/>
          <w:szCs w:val="22"/>
        </w:rPr>
      </w:pPr>
    </w:p>
    <w:p w14:paraId="289764ED" w14:textId="68D7BAA4" w:rsidR="001F1E85" w:rsidRPr="00A00219" w:rsidRDefault="001F1E85" w:rsidP="00214C6B">
      <w:pPr>
        <w:jc w:val="left"/>
        <w:rPr>
          <w:rFonts w:cs="Arial"/>
          <w:color w:val="385623" w:themeColor="accent6" w:themeShade="80"/>
          <w:sz w:val="22"/>
          <w:szCs w:val="22"/>
        </w:rPr>
      </w:pPr>
      <w:r w:rsidRPr="00A00219">
        <w:rPr>
          <w:rFonts w:cs="Arial"/>
          <w:color w:val="385623" w:themeColor="accent6" w:themeShade="80"/>
          <w:sz w:val="22"/>
          <w:szCs w:val="22"/>
        </w:rPr>
        <w:t>Al sacar basura en horarios no establecidos.</w:t>
      </w:r>
    </w:p>
    <w:p w14:paraId="42F502FC" w14:textId="77777777" w:rsidR="001F1E85" w:rsidRPr="00A00219" w:rsidRDefault="001F1E85" w:rsidP="00214C6B">
      <w:pPr>
        <w:jc w:val="left"/>
        <w:rPr>
          <w:rFonts w:cs="Arial"/>
          <w:color w:val="385623" w:themeColor="accent6" w:themeShade="80"/>
          <w:sz w:val="22"/>
          <w:szCs w:val="22"/>
        </w:rPr>
      </w:pPr>
    </w:p>
    <w:p w14:paraId="5307AF2A" w14:textId="0B06F5EC" w:rsidR="001F1E85" w:rsidRPr="00A00219" w:rsidRDefault="001F1E85" w:rsidP="00214C6B">
      <w:pPr>
        <w:jc w:val="left"/>
        <w:rPr>
          <w:rFonts w:cs="Arial"/>
          <w:color w:val="385623" w:themeColor="accent6" w:themeShade="80"/>
          <w:sz w:val="22"/>
          <w:szCs w:val="22"/>
        </w:rPr>
      </w:pPr>
      <w:r w:rsidRPr="00A00219">
        <w:rPr>
          <w:rFonts w:cs="Arial"/>
          <w:color w:val="385623" w:themeColor="accent6" w:themeShade="80"/>
          <w:sz w:val="22"/>
          <w:szCs w:val="22"/>
        </w:rPr>
        <w:t>Al disponer residuos y esco</w:t>
      </w:r>
      <w:bookmarkStart w:id="0" w:name="_GoBack"/>
      <w:bookmarkEnd w:id="0"/>
      <w:r w:rsidRPr="00A00219">
        <w:rPr>
          <w:rFonts w:cs="Arial"/>
          <w:color w:val="385623" w:themeColor="accent6" w:themeShade="80"/>
          <w:sz w:val="22"/>
          <w:szCs w:val="22"/>
        </w:rPr>
        <w:t>mbros en lugares no autorizados.</w:t>
      </w:r>
    </w:p>
    <w:p w14:paraId="1836D7F1" w14:textId="77777777" w:rsidR="001F1E85" w:rsidRPr="00A00219" w:rsidRDefault="001F1E85" w:rsidP="00214C6B">
      <w:pPr>
        <w:jc w:val="left"/>
        <w:rPr>
          <w:rFonts w:cs="Arial"/>
          <w:color w:val="385623" w:themeColor="accent6" w:themeShade="80"/>
          <w:sz w:val="22"/>
          <w:szCs w:val="22"/>
        </w:rPr>
      </w:pPr>
    </w:p>
    <w:p w14:paraId="25150925" w14:textId="3AECE855" w:rsidR="001F1E85" w:rsidRPr="00A00219" w:rsidRDefault="001F1E85" w:rsidP="00214C6B">
      <w:pPr>
        <w:jc w:val="left"/>
        <w:rPr>
          <w:rFonts w:cs="Arial"/>
          <w:color w:val="385623" w:themeColor="accent6" w:themeShade="80"/>
          <w:sz w:val="22"/>
          <w:szCs w:val="22"/>
        </w:rPr>
      </w:pPr>
      <w:r w:rsidRPr="00A00219">
        <w:rPr>
          <w:rFonts w:cs="Arial"/>
          <w:color w:val="385623" w:themeColor="accent6" w:themeShade="80"/>
          <w:sz w:val="22"/>
          <w:szCs w:val="22"/>
        </w:rPr>
        <w:t>Arrojando residuos sólidos o escombros a humedales, páramos, bosques o cualquier ecosistema o fuente de agua.</w:t>
      </w:r>
    </w:p>
    <w:p w14:paraId="099BD953" w14:textId="77777777" w:rsidR="001F1E85" w:rsidRPr="00A00219" w:rsidRDefault="001F1E85" w:rsidP="00214C6B">
      <w:pPr>
        <w:jc w:val="left"/>
        <w:rPr>
          <w:rFonts w:cs="Arial"/>
          <w:color w:val="385623" w:themeColor="accent6" w:themeShade="80"/>
          <w:sz w:val="22"/>
          <w:szCs w:val="22"/>
        </w:rPr>
      </w:pPr>
    </w:p>
    <w:p w14:paraId="2D99D64A" w14:textId="0E86C501" w:rsidR="001F1E85" w:rsidRPr="00A00219" w:rsidRDefault="001F1E85" w:rsidP="00214C6B">
      <w:pPr>
        <w:jc w:val="left"/>
        <w:rPr>
          <w:rFonts w:cs="Arial"/>
          <w:color w:val="385623" w:themeColor="accent6" w:themeShade="80"/>
          <w:sz w:val="22"/>
          <w:szCs w:val="22"/>
        </w:rPr>
      </w:pPr>
      <w:r w:rsidRPr="00A00219">
        <w:rPr>
          <w:rFonts w:cs="Arial"/>
          <w:color w:val="385623" w:themeColor="accent6" w:themeShade="80"/>
          <w:sz w:val="22"/>
          <w:szCs w:val="22"/>
        </w:rPr>
        <w:t>Al presentar en los residuos domésticos animales muertos o sus partes.</w:t>
      </w:r>
    </w:p>
    <w:p w14:paraId="25F04B55" w14:textId="77777777" w:rsidR="001F1E85" w:rsidRPr="00A00219" w:rsidRDefault="001F1E85" w:rsidP="00214C6B">
      <w:pPr>
        <w:jc w:val="left"/>
        <w:rPr>
          <w:rFonts w:cs="Arial"/>
          <w:color w:val="385623" w:themeColor="accent6" w:themeShade="80"/>
          <w:sz w:val="22"/>
          <w:szCs w:val="22"/>
        </w:rPr>
      </w:pPr>
    </w:p>
    <w:p w14:paraId="63406661" w14:textId="756554D1" w:rsidR="001F1E85" w:rsidRPr="00A00219" w:rsidRDefault="001F1E85" w:rsidP="00214C6B">
      <w:pPr>
        <w:jc w:val="left"/>
        <w:rPr>
          <w:rFonts w:cs="Arial"/>
          <w:color w:val="385623" w:themeColor="accent6" w:themeShade="80"/>
          <w:sz w:val="22"/>
          <w:szCs w:val="22"/>
        </w:rPr>
      </w:pPr>
      <w:r w:rsidRPr="00A00219">
        <w:rPr>
          <w:rFonts w:cs="Arial"/>
          <w:color w:val="385623" w:themeColor="accent6" w:themeShade="80"/>
          <w:sz w:val="22"/>
          <w:szCs w:val="22"/>
        </w:rPr>
        <w:t>Disponiendo escombros o material de construcción en áreas públicas.</w:t>
      </w:r>
    </w:p>
    <w:p w14:paraId="2BBFBA93" w14:textId="77777777" w:rsidR="001F1E85" w:rsidRPr="00A00219" w:rsidRDefault="001F1E85" w:rsidP="00214C6B">
      <w:pPr>
        <w:jc w:val="left"/>
        <w:rPr>
          <w:rFonts w:cs="Arial"/>
          <w:color w:val="385623" w:themeColor="accent6" w:themeShade="80"/>
          <w:sz w:val="22"/>
          <w:szCs w:val="22"/>
        </w:rPr>
      </w:pPr>
    </w:p>
    <w:p w14:paraId="0FDDD5A4" w14:textId="2F463CF5" w:rsidR="00214C6B" w:rsidRPr="00A00219" w:rsidRDefault="0057792D" w:rsidP="00214C6B">
      <w:pPr>
        <w:jc w:val="left"/>
        <w:rPr>
          <w:rFonts w:cs="Arial"/>
          <w:color w:val="385623" w:themeColor="accent6" w:themeShade="80"/>
          <w:sz w:val="22"/>
          <w:szCs w:val="22"/>
        </w:rPr>
      </w:pPr>
      <w:r w:rsidRPr="00A00219">
        <w:rPr>
          <w:rFonts w:cs="Arial"/>
          <w:color w:val="385623" w:themeColor="accent6" w:themeShade="80"/>
          <w:sz w:val="22"/>
          <w:szCs w:val="22"/>
        </w:rPr>
        <w:t>Al no usar los recipientes o demás elementos para depositar</w:t>
      </w:r>
      <w:r w:rsidR="003A088F" w:rsidRPr="00A00219">
        <w:rPr>
          <w:rFonts w:cs="Arial"/>
          <w:color w:val="385623" w:themeColor="accent6" w:themeShade="80"/>
          <w:sz w:val="22"/>
          <w:szCs w:val="22"/>
        </w:rPr>
        <w:t xml:space="preserve"> los residuos sólidos de acuerdo con los fines establecidos para ello.</w:t>
      </w:r>
    </w:p>
    <w:p w14:paraId="121E352B" w14:textId="77777777" w:rsidR="003A088F" w:rsidRPr="00A00219" w:rsidRDefault="003A088F" w:rsidP="00214C6B">
      <w:pPr>
        <w:jc w:val="left"/>
        <w:rPr>
          <w:rFonts w:cs="Arial"/>
          <w:color w:val="385623" w:themeColor="accent6" w:themeShade="80"/>
          <w:sz w:val="22"/>
          <w:szCs w:val="22"/>
        </w:rPr>
      </w:pPr>
    </w:p>
    <w:p w14:paraId="5A69FE1B" w14:textId="707C34A1" w:rsidR="003A088F" w:rsidRPr="00A00219" w:rsidRDefault="0053470F" w:rsidP="00214C6B">
      <w:pPr>
        <w:jc w:val="left"/>
        <w:rPr>
          <w:rFonts w:cs="Arial"/>
          <w:color w:val="385623" w:themeColor="accent6" w:themeShade="80"/>
          <w:sz w:val="22"/>
          <w:szCs w:val="22"/>
        </w:rPr>
      </w:pPr>
      <w:r w:rsidRPr="00A00219">
        <w:rPr>
          <w:rFonts w:cs="Arial"/>
          <w:color w:val="385623" w:themeColor="accent6" w:themeShade="80"/>
          <w:sz w:val="22"/>
          <w:szCs w:val="22"/>
        </w:rPr>
        <w:t>Dificultando la actividad de barrido y recolección de residuos sólidos y escombros.</w:t>
      </w:r>
    </w:p>
    <w:p w14:paraId="4FBF1457" w14:textId="77777777" w:rsidR="0053470F" w:rsidRPr="00A00219" w:rsidRDefault="0053470F" w:rsidP="00214C6B">
      <w:pPr>
        <w:jc w:val="left"/>
        <w:rPr>
          <w:rFonts w:cs="Arial"/>
          <w:color w:val="385623" w:themeColor="accent6" w:themeShade="80"/>
          <w:sz w:val="22"/>
          <w:szCs w:val="22"/>
        </w:rPr>
      </w:pPr>
    </w:p>
    <w:p w14:paraId="67FBFB53" w14:textId="3BA6D17C" w:rsidR="0053470F" w:rsidRPr="00A00219" w:rsidRDefault="0053470F" w:rsidP="00214C6B">
      <w:pPr>
        <w:jc w:val="left"/>
        <w:rPr>
          <w:rFonts w:cs="Arial"/>
          <w:color w:val="385623" w:themeColor="accent6" w:themeShade="80"/>
          <w:sz w:val="22"/>
          <w:szCs w:val="22"/>
        </w:rPr>
      </w:pPr>
      <w:r w:rsidRPr="00A00219">
        <w:rPr>
          <w:rFonts w:cs="Arial"/>
          <w:color w:val="385623" w:themeColor="accent6" w:themeShade="80"/>
          <w:sz w:val="22"/>
          <w:szCs w:val="22"/>
        </w:rPr>
        <w:t>Extrayendo indebidamente la basura de las bolsas o canecas presentadas al operador del servicio de recolección.</w:t>
      </w:r>
    </w:p>
    <w:p w14:paraId="2BF0457F" w14:textId="77777777" w:rsidR="0053470F" w:rsidRPr="00A00219" w:rsidRDefault="0053470F" w:rsidP="00214C6B">
      <w:pPr>
        <w:jc w:val="left"/>
        <w:rPr>
          <w:rFonts w:cs="Arial"/>
          <w:color w:val="385623" w:themeColor="accent6" w:themeShade="80"/>
          <w:sz w:val="22"/>
          <w:szCs w:val="22"/>
        </w:rPr>
      </w:pPr>
    </w:p>
    <w:p w14:paraId="09BF4C4E" w14:textId="66B7AB45" w:rsidR="0053470F" w:rsidRPr="00A00219" w:rsidRDefault="0053470F" w:rsidP="00214C6B">
      <w:pPr>
        <w:jc w:val="left"/>
        <w:rPr>
          <w:rFonts w:cs="Arial"/>
          <w:color w:val="385623" w:themeColor="accent6" w:themeShade="80"/>
          <w:sz w:val="22"/>
          <w:szCs w:val="22"/>
        </w:rPr>
      </w:pPr>
      <w:r w:rsidRPr="00A00219">
        <w:rPr>
          <w:rFonts w:cs="Arial"/>
          <w:color w:val="385623" w:themeColor="accent6" w:themeShade="80"/>
          <w:sz w:val="22"/>
          <w:szCs w:val="22"/>
        </w:rPr>
        <w:t>Al quemar grandes cantidades de material sin control o autorización.</w:t>
      </w:r>
    </w:p>
    <w:p w14:paraId="38CB34DC" w14:textId="77777777" w:rsidR="0053470F" w:rsidRPr="00A00219" w:rsidRDefault="0053470F" w:rsidP="00214C6B">
      <w:pPr>
        <w:jc w:val="left"/>
        <w:rPr>
          <w:rFonts w:cs="Arial"/>
          <w:color w:val="385623" w:themeColor="accent6" w:themeShade="80"/>
          <w:sz w:val="22"/>
          <w:szCs w:val="22"/>
        </w:rPr>
      </w:pPr>
    </w:p>
    <w:p w14:paraId="2F325D9E" w14:textId="0806B22C" w:rsidR="0053470F" w:rsidRPr="00A00219" w:rsidRDefault="0053470F" w:rsidP="00214C6B">
      <w:pPr>
        <w:jc w:val="left"/>
        <w:rPr>
          <w:rFonts w:cs="Arial"/>
          <w:color w:val="385623" w:themeColor="accent6" w:themeShade="80"/>
          <w:sz w:val="22"/>
          <w:szCs w:val="22"/>
        </w:rPr>
      </w:pPr>
      <w:r w:rsidRPr="00A00219">
        <w:rPr>
          <w:rFonts w:cs="Arial"/>
          <w:color w:val="385623" w:themeColor="accent6" w:themeShade="80"/>
          <w:sz w:val="22"/>
          <w:szCs w:val="22"/>
        </w:rPr>
        <w:t>Dejando heces fecales de mascotas en áreas públicas.</w:t>
      </w:r>
    </w:p>
    <w:p w14:paraId="7A6822A9" w14:textId="77777777" w:rsidR="0053470F" w:rsidRPr="00A00219" w:rsidRDefault="0053470F" w:rsidP="00214C6B">
      <w:pPr>
        <w:jc w:val="left"/>
        <w:rPr>
          <w:rFonts w:cs="Arial"/>
          <w:color w:val="385623" w:themeColor="accent6" w:themeShade="80"/>
          <w:sz w:val="22"/>
          <w:szCs w:val="22"/>
        </w:rPr>
      </w:pPr>
    </w:p>
    <w:p w14:paraId="424AD644" w14:textId="77777777" w:rsidR="0053470F" w:rsidRPr="00A00219" w:rsidRDefault="0053470F" w:rsidP="00214C6B">
      <w:pPr>
        <w:jc w:val="left"/>
        <w:rPr>
          <w:rFonts w:cs="Arial"/>
          <w:color w:val="385623" w:themeColor="accent6" w:themeShade="80"/>
          <w:sz w:val="22"/>
          <w:szCs w:val="22"/>
        </w:rPr>
      </w:pPr>
      <w:r w:rsidRPr="00A00219">
        <w:rPr>
          <w:rFonts w:cs="Arial"/>
          <w:color w:val="385623" w:themeColor="accent6" w:themeShade="80"/>
          <w:sz w:val="22"/>
          <w:szCs w:val="22"/>
        </w:rPr>
        <w:t>Al no tener en condiciones adecuadas el sitio de clasificación y recolección de residuos.</w:t>
      </w:r>
    </w:p>
    <w:p w14:paraId="5526A962" w14:textId="77777777" w:rsidR="0053470F" w:rsidRPr="00A00219" w:rsidRDefault="0053470F" w:rsidP="00214C6B">
      <w:pPr>
        <w:jc w:val="left"/>
        <w:rPr>
          <w:rFonts w:cs="Arial"/>
          <w:color w:val="385623" w:themeColor="accent6" w:themeShade="80"/>
          <w:sz w:val="22"/>
          <w:szCs w:val="22"/>
        </w:rPr>
      </w:pPr>
    </w:p>
    <w:p w14:paraId="03EDF05E" w14:textId="55DFE9F9" w:rsidR="0053470F" w:rsidRPr="00A00219" w:rsidRDefault="0053470F" w:rsidP="00214C6B">
      <w:pPr>
        <w:jc w:val="left"/>
        <w:rPr>
          <w:rFonts w:cs="Arial"/>
          <w:color w:val="385623" w:themeColor="accent6" w:themeShade="80"/>
          <w:sz w:val="22"/>
          <w:szCs w:val="22"/>
        </w:rPr>
      </w:pPr>
      <w:r w:rsidRPr="00A00219">
        <w:rPr>
          <w:rFonts w:cs="Arial"/>
          <w:color w:val="385623" w:themeColor="accent6" w:themeShade="80"/>
          <w:sz w:val="22"/>
          <w:szCs w:val="22"/>
        </w:rPr>
        <w:t>Arrojando basuras a las vías desde un vehículo automo</w:t>
      </w:r>
      <w:r w:rsidR="005E5C11" w:rsidRPr="00A00219">
        <w:rPr>
          <w:rFonts w:cs="Arial"/>
          <w:color w:val="385623" w:themeColor="accent6" w:themeShade="80"/>
          <w:sz w:val="22"/>
          <w:szCs w:val="22"/>
        </w:rPr>
        <w:t>to</w:t>
      </w:r>
      <w:r w:rsidRPr="00A00219">
        <w:rPr>
          <w:rFonts w:cs="Arial"/>
          <w:color w:val="385623" w:themeColor="accent6" w:themeShade="80"/>
          <w:sz w:val="22"/>
          <w:szCs w:val="22"/>
        </w:rPr>
        <w:t>r</w:t>
      </w:r>
      <w:r w:rsidR="005E5C11" w:rsidRPr="00A00219">
        <w:rPr>
          <w:rFonts w:cs="Arial"/>
          <w:color w:val="385623" w:themeColor="accent6" w:themeShade="80"/>
          <w:sz w:val="22"/>
          <w:szCs w:val="22"/>
        </w:rPr>
        <w:t xml:space="preserve"> o de tracción animal.</w:t>
      </w:r>
    </w:p>
    <w:p w14:paraId="4C59B757" w14:textId="77777777" w:rsidR="00214C6B" w:rsidRPr="00A00219" w:rsidRDefault="00214C6B" w:rsidP="00214C6B">
      <w:pPr>
        <w:jc w:val="left"/>
        <w:rPr>
          <w:rFonts w:cs="Arial"/>
          <w:color w:val="385623" w:themeColor="accent6" w:themeShade="80"/>
          <w:sz w:val="22"/>
          <w:szCs w:val="22"/>
        </w:rPr>
      </w:pPr>
    </w:p>
    <w:p w14:paraId="15A2923D" w14:textId="4FA7072C" w:rsidR="00214C6B" w:rsidRPr="00A00219" w:rsidRDefault="008E4F6B" w:rsidP="00214C6B">
      <w:pPr>
        <w:jc w:val="left"/>
        <w:rPr>
          <w:rFonts w:cs="Arial"/>
          <w:color w:val="385623" w:themeColor="accent6" w:themeShade="80"/>
          <w:sz w:val="22"/>
          <w:szCs w:val="22"/>
        </w:rPr>
      </w:pPr>
      <w:r w:rsidRPr="00A00219">
        <w:rPr>
          <w:rFonts w:cs="Arial"/>
          <w:color w:val="385623" w:themeColor="accent6" w:themeShade="80"/>
          <w:sz w:val="22"/>
          <w:szCs w:val="22"/>
        </w:rPr>
        <w:t>Al d</w:t>
      </w:r>
      <w:r w:rsidR="00D048DF" w:rsidRPr="00A00219">
        <w:rPr>
          <w:rFonts w:cs="Arial"/>
          <w:color w:val="385623" w:themeColor="accent6" w:themeShade="80"/>
          <w:sz w:val="22"/>
          <w:szCs w:val="22"/>
        </w:rPr>
        <w:t>ispo</w:t>
      </w:r>
      <w:r w:rsidRPr="00A00219">
        <w:rPr>
          <w:rFonts w:cs="Arial"/>
          <w:color w:val="385623" w:themeColor="accent6" w:themeShade="80"/>
          <w:sz w:val="22"/>
          <w:szCs w:val="22"/>
        </w:rPr>
        <w:t>ner</w:t>
      </w:r>
      <w:r w:rsidR="00D048DF" w:rsidRPr="00A00219">
        <w:rPr>
          <w:rFonts w:cs="Arial"/>
          <w:color w:val="385623" w:themeColor="accent6" w:themeShade="80"/>
          <w:sz w:val="22"/>
          <w:szCs w:val="22"/>
        </w:rPr>
        <w:t xml:space="preserve"> desechos industriales sin medidas de seguridad </w:t>
      </w:r>
      <w:r w:rsidRPr="00A00219">
        <w:rPr>
          <w:rFonts w:cs="Arial"/>
          <w:color w:val="385623" w:themeColor="accent6" w:themeShade="80"/>
          <w:sz w:val="22"/>
          <w:szCs w:val="22"/>
        </w:rPr>
        <w:t>o</w:t>
      </w:r>
      <w:r w:rsidR="00D048DF" w:rsidRPr="00A00219">
        <w:rPr>
          <w:rFonts w:cs="Arial"/>
          <w:color w:val="385623" w:themeColor="accent6" w:themeShade="80"/>
          <w:sz w:val="22"/>
          <w:szCs w:val="22"/>
        </w:rPr>
        <w:t xml:space="preserve"> en sitios no autorizados.</w:t>
      </w:r>
    </w:p>
    <w:p w14:paraId="13BAB060" w14:textId="77777777" w:rsidR="00D048DF" w:rsidRPr="00A00219" w:rsidRDefault="00D048DF" w:rsidP="00214C6B">
      <w:pPr>
        <w:jc w:val="left"/>
        <w:rPr>
          <w:rFonts w:cs="Arial"/>
          <w:color w:val="385623" w:themeColor="accent6" w:themeShade="80"/>
          <w:sz w:val="22"/>
          <w:szCs w:val="22"/>
        </w:rPr>
      </w:pPr>
    </w:p>
    <w:p w14:paraId="1A5AA0A3" w14:textId="2234D08F" w:rsidR="00D048DF" w:rsidRPr="00A00219" w:rsidRDefault="008E4F6B" w:rsidP="00214C6B">
      <w:pPr>
        <w:jc w:val="left"/>
        <w:rPr>
          <w:rFonts w:cs="Arial"/>
          <w:color w:val="385623" w:themeColor="accent6" w:themeShade="80"/>
          <w:sz w:val="22"/>
          <w:szCs w:val="22"/>
        </w:rPr>
      </w:pPr>
      <w:r w:rsidRPr="00A00219">
        <w:rPr>
          <w:rFonts w:cs="Arial"/>
          <w:color w:val="385623" w:themeColor="accent6" w:themeShade="80"/>
          <w:sz w:val="22"/>
          <w:szCs w:val="22"/>
        </w:rPr>
        <w:t>Al i</w:t>
      </w:r>
      <w:r w:rsidR="00D048DF" w:rsidRPr="00A00219">
        <w:rPr>
          <w:rFonts w:cs="Arial"/>
          <w:color w:val="385623" w:themeColor="accent6" w:themeShade="80"/>
          <w:sz w:val="22"/>
          <w:szCs w:val="22"/>
        </w:rPr>
        <w:t xml:space="preserve">nstalar cajas, canastillas o cestas de almacenamiento sin </w:t>
      </w:r>
      <w:r w:rsidRPr="00A00219">
        <w:rPr>
          <w:rFonts w:cs="Arial"/>
          <w:color w:val="385623" w:themeColor="accent6" w:themeShade="80"/>
          <w:sz w:val="22"/>
          <w:szCs w:val="22"/>
        </w:rPr>
        <w:t>cumplir</w:t>
      </w:r>
      <w:r w:rsidR="00D048DF" w:rsidRPr="00A00219">
        <w:rPr>
          <w:rFonts w:cs="Arial"/>
          <w:color w:val="385623" w:themeColor="accent6" w:themeShade="80"/>
          <w:sz w:val="22"/>
          <w:szCs w:val="22"/>
        </w:rPr>
        <w:t xml:space="preserve"> los requisitos establecidos en el Decreto 1713 de 2002.</w:t>
      </w:r>
    </w:p>
    <w:p w14:paraId="76BF3489" w14:textId="77777777" w:rsidR="00D048DF" w:rsidRPr="00A00219" w:rsidRDefault="00D048DF" w:rsidP="00214C6B">
      <w:pPr>
        <w:jc w:val="left"/>
        <w:rPr>
          <w:rFonts w:cs="Arial"/>
          <w:color w:val="385623" w:themeColor="accent6" w:themeShade="80"/>
          <w:sz w:val="22"/>
          <w:szCs w:val="22"/>
        </w:rPr>
      </w:pPr>
    </w:p>
    <w:p w14:paraId="1F5E9EB1" w14:textId="6A13D013" w:rsidR="00D048DF" w:rsidRPr="00A00219" w:rsidRDefault="00D048DF" w:rsidP="00214C6B">
      <w:pPr>
        <w:jc w:val="left"/>
        <w:rPr>
          <w:rFonts w:cs="Arial"/>
          <w:color w:val="385623" w:themeColor="accent6" w:themeShade="80"/>
          <w:sz w:val="22"/>
          <w:szCs w:val="22"/>
        </w:rPr>
      </w:pPr>
      <w:r w:rsidRPr="00A00219">
        <w:rPr>
          <w:rFonts w:cs="Arial"/>
          <w:color w:val="385623" w:themeColor="accent6" w:themeShade="80"/>
          <w:sz w:val="22"/>
          <w:szCs w:val="22"/>
        </w:rPr>
        <w:t xml:space="preserve">Al </w:t>
      </w:r>
      <w:r w:rsidR="008E4F6B" w:rsidRPr="00A00219">
        <w:rPr>
          <w:rFonts w:cs="Arial"/>
          <w:color w:val="385623" w:themeColor="accent6" w:themeShade="80"/>
          <w:sz w:val="22"/>
          <w:szCs w:val="22"/>
        </w:rPr>
        <w:t>limpiar</w:t>
      </w:r>
      <w:r w:rsidRPr="00A00219">
        <w:rPr>
          <w:rFonts w:cs="Arial"/>
          <w:color w:val="385623" w:themeColor="accent6" w:themeShade="80"/>
          <w:sz w:val="22"/>
          <w:szCs w:val="22"/>
        </w:rPr>
        <w:t xml:space="preserve"> cualquier objeto o residuo sólido en </w:t>
      </w:r>
      <w:r w:rsidR="008E4F6B" w:rsidRPr="00A00219">
        <w:rPr>
          <w:rFonts w:cs="Arial"/>
          <w:color w:val="385623" w:themeColor="accent6" w:themeShade="80"/>
          <w:sz w:val="22"/>
          <w:szCs w:val="22"/>
        </w:rPr>
        <w:t xml:space="preserve">una </w:t>
      </w:r>
      <w:r w:rsidRPr="00A00219">
        <w:rPr>
          <w:rFonts w:cs="Arial"/>
          <w:color w:val="385623" w:themeColor="accent6" w:themeShade="80"/>
          <w:sz w:val="22"/>
          <w:szCs w:val="22"/>
        </w:rPr>
        <w:t xml:space="preserve">vía pública causando acumulación o esparcimiento de </w:t>
      </w:r>
      <w:r w:rsidR="008E4F6B" w:rsidRPr="00A00219">
        <w:rPr>
          <w:rFonts w:cs="Arial"/>
          <w:color w:val="385623" w:themeColor="accent6" w:themeShade="80"/>
          <w:sz w:val="22"/>
          <w:szCs w:val="22"/>
        </w:rPr>
        <w:t>residuos</w:t>
      </w:r>
      <w:r w:rsidRPr="00A00219">
        <w:rPr>
          <w:rFonts w:cs="Arial"/>
          <w:color w:val="385623" w:themeColor="accent6" w:themeShade="80"/>
          <w:sz w:val="22"/>
          <w:szCs w:val="22"/>
        </w:rPr>
        <w:t>.</w:t>
      </w:r>
    </w:p>
    <w:p w14:paraId="4E8BF621" w14:textId="77777777" w:rsidR="00D048DF" w:rsidRPr="00A00219" w:rsidRDefault="00D048DF" w:rsidP="00214C6B">
      <w:pPr>
        <w:jc w:val="left"/>
        <w:rPr>
          <w:rFonts w:cs="Arial"/>
          <w:color w:val="385623" w:themeColor="accent6" w:themeShade="80"/>
          <w:sz w:val="22"/>
          <w:szCs w:val="22"/>
        </w:rPr>
      </w:pPr>
    </w:p>
    <w:p w14:paraId="7CF66F7D" w14:textId="00E221A6" w:rsidR="005B695A" w:rsidRPr="00A00219" w:rsidRDefault="00D048DF" w:rsidP="008E4F6B">
      <w:pPr>
        <w:jc w:val="left"/>
        <w:rPr>
          <w:color w:val="385623" w:themeColor="accent6" w:themeShade="80"/>
        </w:rPr>
      </w:pPr>
      <w:r w:rsidRPr="00A00219">
        <w:rPr>
          <w:rFonts w:cs="Arial"/>
          <w:color w:val="385623" w:themeColor="accent6" w:themeShade="80"/>
          <w:sz w:val="22"/>
          <w:szCs w:val="22"/>
        </w:rPr>
        <w:t>Incumpliendo las frecuencias y horarios de recolección de los residuos o escombros</w:t>
      </w:r>
      <w:r w:rsidR="008E4F6B" w:rsidRPr="00A00219">
        <w:rPr>
          <w:rFonts w:cs="Arial"/>
          <w:color w:val="385623" w:themeColor="accent6" w:themeShade="80"/>
          <w:sz w:val="22"/>
          <w:szCs w:val="22"/>
        </w:rPr>
        <w:t>,</w:t>
      </w:r>
      <w:r w:rsidRPr="00A00219">
        <w:rPr>
          <w:rFonts w:cs="Arial"/>
          <w:color w:val="385623" w:themeColor="accent6" w:themeShade="80"/>
          <w:sz w:val="22"/>
          <w:szCs w:val="22"/>
        </w:rPr>
        <w:t xml:space="preserve"> que haya establecido la empresa</w:t>
      </w:r>
      <w:r w:rsidR="008E4F6B" w:rsidRPr="00A00219">
        <w:rPr>
          <w:rFonts w:cs="Arial"/>
          <w:color w:val="385623" w:themeColor="accent6" w:themeShade="80"/>
          <w:sz w:val="22"/>
          <w:szCs w:val="22"/>
        </w:rPr>
        <w:t xml:space="preserve"> de recolección</w:t>
      </w:r>
      <w:r w:rsidRPr="00A00219">
        <w:rPr>
          <w:rFonts w:cs="Arial"/>
          <w:color w:val="385623" w:themeColor="accent6" w:themeShade="80"/>
          <w:sz w:val="22"/>
          <w:szCs w:val="22"/>
        </w:rPr>
        <w:t>.</w:t>
      </w:r>
    </w:p>
    <w:sectPr w:rsidR="005B695A" w:rsidRPr="00A00219" w:rsidSect="00403D47">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16"/>
  <w:proofState w:spelling="clean" w:grammar="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C6B"/>
    <w:rsid w:val="000260DE"/>
    <w:rsid w:val="00043275"/>
    <w:rsid w:val="000538A6"/>
    <w:rsid w:val="000546A4"/>
    <w:rsid w:val="00056563"/>
    <w:rsid w:val="000673D0"/>
    <w:rsid w:val="000956E1"/>
    <w:rsid w:val="000B7A9C"/>
    <w:rsid w:val="000E330B"/>
    <w:rsid w:val="0010122B"/>
    <w:rsid w:val="00155F7C"/>
    <w:rsid w:val="00162F9C"/>
    <w:rsid w:val="00163C4A"/>
    <w:rsid w:val="0018113C"/>
    <w:rsid w:val="001E4359"/>
    <w:rsid w:val="001F1E85"/>
    <w:rsid w:val="00214C6B"/>
    <w:rsid w:val="002316B9"/>
    <w:rsid w:val="00260CF5"/>
    <w:rsid w:val="00292275"/>
    <w:rsid w:val="002946C2"/>
    <w:rsid w:val="002A07B3"/>
    <w:rsid w:val="0031067E"/>
    <w:rsid w:val="00350CF1"/>
    <w:rsid w:val="00373921"/>
    <w:rsid w:val="00383196"/>
    <w:rsid w:val="003A088F"/>
    <w:rsid w:val="003A6224"/>
    <w:rsid w:val="003D15A5"/>
    <w:rsid w:val="003E6561"/>
    <w:rsid w:val="00403D47"/>
    <w:rsid w:val="00437BED"/>
    <w:rsid w:val="00446301"/>
    <w:rsid w:val="00456F3E"/>
    <w:rsid w:val="004766DE"/>
    <w:rsid w:val="004E6B6E"/>
    <w:rsid w:val="004E6FBC"/>
    <w:rsid w:val="0053470F"/>
    <w:rsid w:val="0057792D"/>
    <w:rsid w:val="00593736"/>
    <w:rsid w:val="005B20A9"/>
    <w:rsid w:val="005B5C8A"/>
    <w:rsid w:val="005E5C11"/>
    <w:rsid w:val="005F06D9"/>
    <w:rsid w:val="00656431"/>
    <w:rsid w:val="00672A85"/>
    <w:rsid w:val="006E79C2"/>
    <w:rsid w:val="007554D5"/>
    <w:rsid w:val="007B1A54"/>
    <w:rsid w:val="007F70E6"/>
    <w:rsid w:val="00822346"/>
    <w:rsid w:val="008264D6"/>
    <w:rsid w:val="0086396F"/>
    <w:rsid w:val="0088109B"/>
    <w:rsid w:val="008B00B8"/>
    <w:rsid w:val="008D1C34"/>
    <w:rsid w:val="008E46E0"/>
    <w:rsid w:val="008E4F6B"/>
    <w:rsid w:val="008E72E2"/>
    <w:rsid w:val="008F5A74"/>
    <w:rsid w:val="009318DB"/>
    <w:rsid w:val="009E1583"/>
    <w:rsid w:val="009E356A"/>
    <w:rsid w:val="00A00219"/>
    <w:rsid w:val="00A05374"/>
    <w:rsid w:val="00A27CAE"/>
    <w:rsid w:val="00AA5AF5"/>
    <w:rsid w:val="00AB4BC7"/>
    <w:rsid w:val="00AD462A"/>
    <w:rsid w:val="00B24F93"/>
    <w:rsid w:val="00B456F8"/>
    <w:rsid w:val="00B56BB5"/>
    <w:rsid w:val="00B65BB6"/>
    <w:rsid w:val="00C1031A"/>
    <w:rsid w:val="00C208D5"/>
    <w:rsid w:val="00C279A0"/>
    <w:rsid w:val="00C35022"/>
    <w:rsid w:val="00C9612B"/>
    <w:rsid w:val="00CA015A"/>
    <w:rsid w:val="00CB0932"/>
    <w:rsid w:val="00CB5FE5"/>
    <w:rsid w:val="00CB672C"/>
    <w:rsid w:val="00CC300A"/>
    <w:rsid w:val="00CD5ABB"/>
    <w:rsid w:val="00D048DF"/>
    <w:rsid w:val="00D14687"/>
    <w:rsid w:val="00D20C96"/>
    <w:rsid w:val="00D33ABE"/>
    <w:rsid w:val="00DF0FDB"/>
    <w:rsid w:val="00E23A65"/>
    <w:rsid w:val="00E330AD"/>
    <w:rsid w:val="00E34BE5"/>
    <w:rsid w:val="00E600F9"/>
    <w:rsid w:val="00E76BB4"/>
    <w:rsid w:val="00ED379C"/>
    <w:rsid w:val="00F106FB"/>
    <w:rsid w:val="00F35E18"/>
    <w:rsid w:val="00F54B4D"/>
    <w:rsid w:val="00FB676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49F032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4C6B"/>
    <w:pPr>
      <w:jc w:val="both"/>
    </w:pPr>
    <w:rPr>
      <w:rFonts w:ascii="Arial" w:eastAsia="Times New Roman" w:hAnsi="Arial" w:cs="Times New Roman"/>
      <w:szCs w:val="20"/>
      <w:lang w:val="es-ES_tradnl"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03D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702</Words>
  <Characters>3866</Characters>
  <Application>Microsoft Macintosh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45</cp:revision>
  <dcterms:created xsi:type="dcterms:W3CDTF">2018-06-26T15:06:00Z</dcterms:created>
  <dcterms:modified xsi:type="dcterms:W3CDTF">2018-07-19T17:07:00Z</dcterms:modified>
</cp:coreProperties>
</file>