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8DF6" w14:textId="12EE6ED9" w:rsidR="005B695A" w:rsidRDefault="001F1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favor hacer una </w:t>
      </w:r>
      <w:r w:rsidR="00BB32BA">
        <w:rPr>
          <w:rFonts w:ascii="Arial" w:hAnsi="Arial" w:cs="Arial"/>
        </w:rPr>
        <w:t>interactividad</w:t>
      </w:r>
      <w:r>
        <w:rPr>
          <w:rFonts w:ascii="Arial" w:hAnsi="Arial" w:cs="Arial"/>
        </w:rPr>
        <w:t xml:space="preserve"> a partir del modelo: </w:t>
      </w:r>
      <w:r w:rsidR="00023B8C">
        <w:rPr>
          <w:rFonts w:ascii="Arial" w:hAnsi="Arial" w:cs="Arial"/>
        </w:rPr>
        <w:t>Edge / 7 ítems / Pestañas</w:t>
      </w:r>
      <w:r>
        <w:rPr>
          <w:rFonts w:ascii="Arial" w:hAnsi="Arial" w:cs="Arial"/>
        </w:rPr>
        <w:t>, y de los siguientes textos:</w:t>
      </w:r>
    </w:p>
    <w:p w14:paraId="2636D98B" w14:textId="77777777" w:rsidR="001F11A8" w:rsidRDefault="001F11A8">
      <w:pPr>
        <w:rPr>
          <w:rFonts w:ascii="Arial" w:hAnsi="Arial" w:cs="Arial"/>
        </w:rPr>
      </w:pPr>
    </w:p>
    <w:p w14:paraId="21446A0D" w14:textId="77777777" w:rsidR="001F11A8" w:rsidRDefault="001F11A8">
      <w:pPr>
        <w:rPr>
          <w:rFonts w:ascii="Arial" w:hAnsi="Arial" w:cs="Arial"/>
        </w:rPr>
      </w:pPr>
      <w:r w:rsidRPr="001F11A8">
        <w:rPr>
          <w:rFonts w:ascii="Arial" w:hAnsi="Arial" w:cs="Arial"/>
          <w:b/>
        </w:rPr>
        <w:t>Título:</w:t>
      </w:r>
      <w:r w:rsidR="00023B8C">
        <w:rPr>
          <w:rFonts w:ascii="Arial" w:hAnsi="Arial" w:cs="Arial"/>
        </w:rPr>
        <w:t xml:space="preserve"> </w:t>
      </w:r>
      <w:r w:rsidR="00023B8C" w:rsidRPr="00023B8C">
        <w:rPr>
          <w:rFonts w:ascii="Arial" w:hAnsi="Arial" w:cs="Arial"/>
          <w:color w:val="385623" w:themeColor="accent6" w:themeShade="80"/>
        </w:rPr>
        <w:t>Clasificación de los recursos naturales</w:t>
      </w:r>
    </w:p>
    <w:p w14:paraId="58A5278F" w14:textId="77777777" w:rsidR="001F11A8" w:rsidRDefault="001F11A8">
      <w:pPr>
        <w:rPr>
          <w:rFonts w:ascii="Arial" w:hAnsi="Arial" w:cs="Arial"/>
        </w:rPr>
      </w:pPr>
    </w:p>
    <w:p w14:paraId="52EB8F4C" w14:textId="7D825B7D" w:rsidR="00023B8C" w:rsidRDefault="00023B8C">
      <w:pPr>
        <w:rPr>
          <w:rFonts w:ascii="Arial" w:hAnsi="Arial" w:cs="Arial"/>
        </w:rPr>
      </w:pPr>
      <w:r w:rsidRPr="00023B8C">
        <w:rPr>
          <w:rFonts w:ascii="Arial" w:hAnsi="Arial" w:cs="Arial"/>
          <w:b/>
        </w:rPr>
        <w:t>Instrucción:</w:t>
      </w:r>
      <w:r>
        <w:rPr>
          <w:rFonts w:ascii="Arial" w:hAnsi="Arial" w:cs="Arial"/>
        </w:rPr>
        <w:t xml:space="preserve"> </w:t>
      </w:r>
      <w:r w:rsidR="00E82C13" w:rsidRPr="00023B8C">
        <w:rPr>
          <w:rFonts w:ascii="Arial" w:hAnsi="Arial" w:cs="Arial"/>
          <w:color w:val="385623" w:themeColor="accent6" w:themeShade="80"/>
        </w:rPr>
        <w:t>Es importante tener en cuenta que en la clasificación de los recursos naturales según su carácter la tasa de recuperación de los recursos puede ser definida,</w:t>
      </w:r>
      <w:r w:rsidR="00F443FB">
        <w:rPr>
          <w:rFonts w:ascii="Arial" w:hAnsi="Arial" w:cs="Arial"/>
          <w:color w:val="385623" w:themeColor="accent6" w:themeShade="80"/>
        </w:rPr>
        <w:t xml:space="preserve"> salvo en el caso de los recursos</w:t>
      </w:r>
      <w:r w:rsidR="005A0D7D" w:rsidRPr="00023B8C">
        <w:rPr>
          <w:rFonts w:ascii="Arial" w:hAnsi="Arial" w:cs="Arial"/>
          <w:color w:val="385623" w:themeColor="accent6" w:themeShade="80"/>
        </w:rPr>
        <w:t xml:space="preserve"> no renovables</w:t>
      </w:r>
      <w:r w:rsidR="00F443FB">
        <w:rPr>
          <w:rFonts w:ascii="Arial" w:hAnsi="Arial" w:cs="Arial"/>
          <w:color w:val="385623" w:themeColor="accent6" w:themeShade="80"/>
        </w:rPr>
        <w:t xml:space="preserve"> cuya </w:t>
      </w:r>
      <w:r w:rsidR="00E82C13" w:rsidRPr="00023B8C">
        <w:rPr>
          <w:rFonts w:ascii="Arial" w:hAnsi="Arial" w:cs="Arial"/>
          <w:color w:val="385623" w:themeColor="accent6" w:themeShade="80"/>
        </w:rPr>
        <w:t>tasa de recuperación</w:t>
      </w:r>
      <w:r w:rsidR="00F443FB">
        <w:rPr>
          <w:rFonts w:ascii="Arial" w:hAnsi="Arial" w:cs="Arial"/>
          <w:color w:val="385623" w:themeColor="accent6" w:themeShade="80"/>
        </w:rPr>
        <w:t xml:space="preserve"> es muy limitada</w:t>
      </w:r>
      <w:r w:rsidR="00E82C13" w:rsidRPr="00023B8C">
        <w:rPr>
          <w:rFonts w:ascii="Arial" w:hAnsi="Arial" w:cs="Arial"/>
          <w:color w:val="385623" w:themeColor="accent6" w:themeShade="80"/>
        </w:rPr>
        <w:t>.</w:t>
      </w:r>
      <w:r w:rsidR="00E82C13">
        <w:rPr>
          <w:rFonts w:ascii="Arial" w:hAnsi="Arial" w:cs="Arial"/>
          <w:color w:val="385623" w:themeColor="accent6" w:themeShade="80"/>
        </w:rPr>
        <w:t xml:space="preserve"> </w:t>
      </w:r>
      <w:r w:rsidRPr="00023B8C">
        <w:rPr>
          <w:rFonts w:ascii="Arial" w:hAnsi="Arial" w:cs="Arial"/>
          <w:color w:val="385623" w:themeColor="accent6" w:themeShade="80"/>
        </w:rPr>
        <w:t>Haga clic sobre cada una de las pestañas para acceder a su respectiva descripci</w:t>
      </w:r>
      <w:r w:rsidR="00DD7FB2">
        <w:rPr>
          <w:rFonts w:ascii="Arial" w:hAnsi="Arial" w:cs="Arial"/>
          <w:color w:val="385623" w:themeColor="accent6" w:themeShade="80"/>
        </w:rPr>
        <w:t>ón</w:t>
      </w:r>
      <w:r w:rsidRPr="00023B8C">
        <w:rPr>
          <w:rFonts w:ascii="Arial" w:hAnsi="Arial" w:cs="Arial"/>
          <w:color w:val="385623" w:themeColor="accent6" w:themeShade="80"/>
        </w:rPr>
        <w:t>.</w:t>
      </w:r>
    </w:p>
    <w:p w14:paraId="6ABC49C0" w14:textId="77777777" w:rsidR="001F11A8" w:rsidRDefault="001F11A8">
      <w:pPr>
        <w:rPr>
          <w:rFonts w:ascii="Arial" w:hAnsi="Arial" w:cs="Arial"/>
        </w:rPr>
      </w:pPr>
    </w:p>
    <w:p w14:paraId="54663F6A" w14:textId="77777777" w:rsidR="001F11A8" w:rsidRPr="001F11A8" w:rsidRDefault="001F11A8">
      <w:pPr>
        <w:rPr>
          <w:rFonts w:ascii="Arial" w:hAnsi="Arial" w:cs="Arial"/>
          <w:b/>
        </w:rPr>
      </w:pPr>
      <w:r w:rsidRPr="001F11A8">
        <w:rPr>
          <w:rFonts w:ascii="Arial" w:hAnsi="Arial" w:cs="Arial"/>
          <w:b/>
        </w:rPr>
        <w:t>Textos:</w:t>
      </w:r>
    </w:p>
    <w:p w14:paraId="719B983A" w14:textId="77777777" w:rsidR="001F11A8" w:rsidRDefault="001F11A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4"/>
        <w:gridCol w:w="7938"/>
        <w:gridCol w:w="3136"/>
      </w:tblGrid>
      <w:tr w:rsidR="00337DFF" w14:paraId="65B79310" w14:textId="77777777" w:rsidTr="00337DFF">
        <w:tc>
          <w:tcPr>
            <w:tcW w:w="1696" w:type="dxa"/>
            <w:vAlign w:val="center"/>
          </w:tcPr>
          <w:p w14:paraId="792BD749" w14:textId="77777777" w:rsidR="00023B8C" w:rsidRPr="00A86F32" w:rsidRDefault="00023B8C" w:rsidP="00337DFF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Título</w:t>
            </w:r>
          </w:p>
        </w:tc>
        <w:tc>
          <w:tcPr>
            <w:tcW w:w="7938" w:type="dxa"/>
            <w:vAlign w:val="center"/>
          </w:tcPr>
          <w:p w14:paraId="21EF1338" w14:textId="77777777" w:rsidR="00023B8C" w:rsidRPr="00A86F32" w:rsidRDefault="00023B8C" w:rsidP="00337DFF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Texto</w:t>
            </w:r>
          </w:p>
        </w:tc>
        <w:tc>
          <w:tcPr>
            <w:tcW w:w="3136" w:type="dxa"/>
            <w:vAlign w:val="center"/>
          </w:tcPr>
          <w:p w14:paraId="6BC0FD05" w14:textId="77777777" w:rsidR="00023B8C" w:rsidRPr="00A86F32" w:rsidRDefault="00023B8C" w:rsidP="00337DFF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Imagen</w:t>
            </w:r>
          </w:p>
        </w:tc>
      </w:tr>
      <w:tr w:rsidR="00337DFF" w14:paraId="1BE87012" w14:textId="77777777" w:rsidTr="00337DFF">
        <w:tc>
          <w:tcPr>
            <w:tcW w:w="1696" w:type="dxa"/>
            <w:vAlign w:val="center"/>
          </w:tcPr>
          <w:p w14:paraId="4E91BC88" w14:textId="3391D289" w:rsidR="00023B8C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Recursos renovables</w:t>
            </w:r>
          </w:p>
        </w:tc>
        <w:tc>
          <w:tcPr>
            <w:tcW w:w="7938" w:type="dxa"/>
            <w:vAlign w:val="center"/>
          </w:tcPr>
          <w:p w14:paraId="47FA8094" w14:textId="3C35A61F" w:rsidR="00023B8C" w:rsidRPr="00A86F32" w:rsidRDefault="001C7079" w:rsidP="00FA6DC2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on aquellos </w:t>
            </w:r>
            <w:r w:rsidR="00756277" w:rsidRPr="00A86F32">
              <w:rPr>
                <w:rFonts w:ascii="Arial" w:hAnsi="Arial" w:cs="Arial"/>
                <w:color w:val="385623" w:themeColor="accent6" w:themeShade="80"/>
              </w:rPr>
              <w:t>cuya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tasa de restauración es </w:t>
            </w:r>
            <w:r w:rsidR="00756277" w:rsidRPr="00A86F32">
              <w:rPr>
                <w:rFonts w:ascii="Arial" w:hAnsi="Arial" w:cs="Arial"/>
                <w:color w:val="385623" w:themeColor="accent6" w:themeShade="80"/>
              </w:rPr>
              <w:t>superior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756277" w:rsidRPr="00A86F32">
              <w:rPr>
                <w:rFonts w:ascii="Arial" w:hAnsi="Arial" w:cs="Arial"/>
                <w:color w:val="385623" w:themeColor="accent6" w:themeShade="80"/>
              </w:rPr>
              <w:t>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FA6DC2">
              <w:rPr>
                <w:rFonts w:ascii="Arial" w:hAnsi="Arial" w:cs="Arial"/>
                <w:color w:val="385623" w:themeColor="accent6" w:themeShade="80"/>
              </w:rPr>
              <w:t>su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tasa de</w:t>
            </w:r>
            <w:r w:rsidR="00756277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consumo por actividades humanas. Algunos ejemplos de recursos naturales renovables son: </w:t>
            </w:r>
            <w:r w:rsidR="00756277" w:rsidRPr="00A86F32">
              <w:rPr>
                <w:rFonts w:ascii="Arial" w:hAnsi="Arial" w:cs="Arial"/>
                <w:color w:val="385623" w:themeColor="accent6" w:themeShade="80"/>
              </w:rPr>
              <w:t>e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l sol, el agua, el viento, la madera, los biocombustibles</w:t>
            </w:r>
            <w:r w:rsidR="00756277" w:rsidRPr="00A86F32">
              <w:rPr>
                <w:rFonts w:ascii="Arial" w:hAnsi="Arial" w:cs="Arial"/>
                <w:color w:val="385623" w:themeColor="accent6" w:themeShade="80"/>
              </w:rPr>
              <w:t xml:space="preserve"> y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BA0CEB">
              <w:rPr>
                <w:rFonts w:ascii="Arial" w:hAnsi="Arial" w:cs="Arial"/>
                <w:color w:val="385623" w:themeColor="accent6" w:themeShade="80"/>
              </w:rPr>
              <w:t xml:space="preserve">los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productos agrícolas.</w:t>
            </w:r>
          </w:p>
        </w:tc>
        <w:tc>
          <w:tcPr>
            <w:tcW w:w="3136" w:type="dxa"/>
            <w:vAlign w:val="center"/>
          </w:tcPr>
          <w:p w14:paraId="70237911" w14:textId="0F3C7EB0" w:rsidR="00023B8C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02E64887</w:t>
            </w:r>
          </w:p>
        </w:tc>
      </w:tr>
      <w:tr w:rsidR="00337DFF" w14:paraId="6EB19FA6" w14:textId="77777777" w:rsidTr="00337DFF">
        <w:tc>
          <w:tcPr>
            <w:tcW w:w="1696" w:type="dxa"/>
            <w:vAlign w:val="center"/>
          </w:tcPr>
          <w:p w14:paraId="3F2035C9" w14:textId="509597EE" w:rsidR="00023B8C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Recursos no renovables</w:t>
            </w:r>
          </w:p>
        </w:tc>
        <w:tc>
          <w:tcPr>
            <w:tcW w:w="7938" w:type="dxa"/>
            <w:vAlign w:val="center"/>
          </w:tcPr>
          <w:p w14:paraId="51BC324A" w14:textId="534D5C99" w:rsidR="00023B8C" w:rsidRPr="00A86F32" w:rsidRDefault="001C7079" w:rsidP="0088234C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on aquellos </w:t>
            </w:r>
            <w:r w:rsidR="006C449A" w:rsidRPr="00A86F32">
              <w:rPr>
                <w:rFonts w:ascii="Arial" w:hAnsi="Arial" w:cs="Arial"/>
                <w:color w:val="385623" w:themeColor="accent6" w:themeShade="80"/>
              </w:rPr>
              <w:t>cuya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tasa de restauración es más </w:t>
            </w:r>
            <w:r w:rsidR="00B70466" w:rsidRPr="00A86F32">
              <w:rPr>
                <w:rFonts w:ascii="Arial" w:hAnsi="Arial" w:cs="Arial"/>
                <w:color w:val="385623" w:themeColor="accent6" w:themeShade="80"/>
              </w:rPr>
              <w:t>baja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que </w:t>
            </w:r>
            <w:r w:rsidR="000A4AAA">
              <w:rPr>
                <w:rFonts w:ascii="Arial" w:hAnsi="Arial" w:cs="Arial"/>
                <w:color w:val="385623" w:themeColor="accent6" w:themeShade="80"/>
              </w:rPr>
              <w:t>su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tasa de</w:t>
            </w:r>
            <w:r w:rsidR="00B70466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consumo por actividades humanas. Ejemplos de recursos naturales no renovables son: </w:t>
            </w:r>
            <w:r w:rsidR="00B70466" w:rsidRPr="00A86F32">
              <w:rPr>
                <w:rFonts w:ascii="Arial" w:hAnsi="Arial" w:cs="Arial"/>
                <w:color w:val="385623" w:themeColor="accent6" w:themeShade="80"/>
              </w:rPr>
              <w:t>e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l agua potable, los hidrocarburos, los metales</w:t>
            </w:r>
            <w:r w:rsidR="00B70466" w:rsidRPr="00A86F32">
              <w:rPr>
                <w:rFonts w:ascii="Arial" w:hAnsi="Arial" w:cs="Arial"/>
                <w:color w:val="385623" w:themeColor="accent6" w:themeShade="80"/>
              </w:rPr>
              <w:t xml:space="preserve"> y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>algunos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minerales</w:t>
            </w:r>
            <w:r w:rsidR="00B70466" w:rsidRPr="00A86F32">
              <w:rPr>
                <w:rFonts w:ascii="Arial" w:hAnsi="Arial" w:cs="Arial"/>
                <w:color w:val="385623" w:themeColor="accent6" w:themeShade="80"/>
              </w:rPr>
              <w:t xml:space="preserve"> como el carbón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.</w:t>
            </w:r>
          </w:p>
        </w:tc>
        <w:tc>
          <w:tcPr>
            <w:tcW w:w="3136" w:type="dxa"/>
            <w:vAlign w:val="center"/>
          </w:tcPr>
          <w:p w14:paraId="3BE22BA8" w14:textId="25C487EC" w:rsidR="00023B8C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02A16S09</w:t>
            </w:r>
          </w:p>
        </w:tc>
      </w:tr>
      <w:tr w:rsidR="00337DFF" w14:paraId="549A0905" w14:textId="77777777" w:rsidTr="00337DFF">
        <w:tc>
          <w:tcPr>
            <w:tcW w:w="1696" w:type="dxa"/>
            <w:vAlign w:val="center"/>
          </w:tcPr>
          <w:p w14:paraId="2F46986B" w14:textId="55F4B27C" w:rsidR="00023B8C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Recursos alimentarios</w:t>
            </w:r>
          </w:p>
        </w:tc>
        <w:tc>
          <w:tcPr>
            <w:tcW w:w="7938" w:type="dxa"/>
            <w:vAlign w:val="center"/>
          </w:tcPr>
          <w:p w14:paraId="4252171D" w14:textId="1404E83D" w:rsidR="00023B8C" w:rsidRPr="00A86F32" w:rsidRDefault="001C7079" w:rsidP="004A233C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on aquellos recursos 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>destinados a la alimentación humana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. Entre 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>ellos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se encuentran recursos agrícolas como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>: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granos, verduras, frutas, etc., recursos 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>de origen animal como: carne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, 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 xml:space="preserve">leche, huevos,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etc., y recursos minerales como el agua potable</w:t>
            </w:r>
            <w:r w:rsidR="004A233C" w:rsidRPr="00A86F32">
              <w:rPr>
                <w:rFonts w:ascii="Arial" w:hAnsi="Arial" w:cs="Arial"/>
                <w:color w:val="385623" w:themeColor="accent6" w:themeShade="80"/>
              </w:rPr>
              <w:t xml:space="preserve"> o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la sal.</w:t>
            </w:r>
          </w:p>
        </w:tc>
        <w:tc>
          <w:tcPr>
            <w:tcW w:w="3136" w:type="dxa"/>
            <w:vAlign w:val="center"/>
          </w:tcPr>
          <w:p w14:paraId="624D8FFF" w14:textId="06144676" w:rsidR="00023B8C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02E81373</w:t>
            </w:r>
          </w:p>
        </w:tc>
      </w:tr>
      <w:tr w:rsidR="00337DFF" w14:paraId="30357C9B" w14:textId="77777777" w:rsidTr="00337DFF">
        <w:tc>
          <w:tcPr>
            <w:tcW w:w="1696" w:type="dxa"/>
            <w:vAlign w:val="center"/>
          </w:tcPr>
          <w:p w14:paraId="3458E76C" w14:textId="61FAE2B4" w:rsidR="00023B8C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Recursos energéticos</w:t>
            </w:r>
          </w:p>
        </w:tc>
        <w:tc>
          <w:tcPr>
            <w:tcW w:w="7938" w:type="dxa"/>
            <w:vAlign w:val="center"/>
          </w:tcPr>
          <w:p w14:paraId="51B2F592" w14:textId="3535209C" w:rsidR="00023B8C" w:rsidRPr="00A86F32" w:rsidRDefault="001C7079" w:rsidP="0088234C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on </w:t>
            </w:r>
            <w:r w:rsidR="00DB1A81" w:rsidRPr="00A86F32">
              <w:rPr>
                <w:rFonts w:ascii="Arial" w:hAnsi="Arial" w:cs="Arial"/>
                <w:color w:val="385623" w:themeColor="accent6" w:themeShade="80"/>
              </w:rPr>
              <w:t>todos aquellos recursos que, mediante diferentes procesos, permiten obtener energía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, por ejemplo</w:t>
            </w:r>
            <w:r w:rsidR="00DB1A81" w:rsidRPr="00A86F32">
              <w:rPr>
                <w:rFonts w:ascii="Arial" w:hAnsi="Arial" w:cs="Arial"/>
                <w:color w:val="385623" w:themeColor="accent6" w:themeShade="80"/>
              </w:rPr>
              <w:t>: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madera, carbón, gas, viento, etc.</w:t>
            </w:r>
            <w:r w:rsidR="00DB1A81" w:rsidRPr="00A86F32">
              <w:rPr>
                <w:rFonts w:ascii="Arial" w:hAnsi="Arial" w:cs="Arial"/>
                <w:color w:val="385623" w:themeColor="accent6" w:themeShade="80"/>
              </w:rPr>
              <w:t xml:space="preserve"> Este tipo de insumos </w:t>
            </w:r>
            <w:r w:rsidR="00453CE4">
              <w:rPr>
                <w:rFonts w:ascii="Arial" w:hAnsi="Arial" w:cs="Arial"/>
                <w:color w:val="385623" w:themeColor="accent6" w:themeShade="80"/>
              </w:rPr>
              <w:t xml:space="preserve">permiten </w:t>
            </w:r>
            <w:bookmarkStart w:id="0" w:name="_GoBack"/>
            <w:bookmarkEnd w:id="0"/>
            <w:r w:rsidR="00DB1A81" w:rsidRPr="00A86F32">
              <w:rPr>
                <w:rFonts w:ascii="Arial" w:hAnsi="Arial" w:cs="Arial"/>
                <w:color w:val="385623" w:themeColor="accent6" w:themeShade="80"/>
              </w:rPr>
              <w:t>calentar ambientes fríos e impulsar diferentes tipos de máquinas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.</w:t>
            </w:r>
          </w:p>
        </w:tc>
        <w:tc>
          <w:tcPr>
            <w:tcW w:w="3136" w:type="dxa"/>
            <w:vAlign w:val="center"/>
          </w:tcPr>
          <w:p w14:paraId="5983CBFD" w14:textId="0BFD1854" w:rsidR="00023B8C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03A45527</w:t>
            </w:r>
          </w:p>
        </w:tc>
      </w:tr>
      <w:tr w:rsidR="00337DFF" w14:paraId="1C1A5131" w14:textId="77777777" w:rsidTr="00337DFF">
        <w:tc>
          <w:tcPr>
            <w:tcW w:w="1696" w:type="dxa"/>
            <w:vAlign w:val="center"/>
          </w:tcPr>
          <w:p w14:paraId="0EFA1C08" w14:textId="5380F0FF" w:rsidR="00023B8C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lastRenderedPageBreak/>
              <w:t>Recursos de protección</w:t>
            </w:r>
          </w:p>
        </w:tc>
        <w:tc>
          <w:tcPr>
            <w:tcW w:w="7938" w:type="dxa"/>
            <w:vAlign w:val="center"/>
          </w:tcPr>
          <w:p w14:paraId="2C120A97" w14:textId="217B64B4" w:rsidR="00023B8C" w:rsidRPr="00A86F32" w:rsidRDefault="001C7079" w:rsidP="00DB1A81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on aquellos que prestan un servicio a las personas, como las pieles de los animales, la madera, </w:t>
            </w:r>
            <w:r w:rsidR="00DB1A81" w:rsidRPr="00A86F32">
              <w:rPr>
                <w:rFonts w:ascii="Arial" w:hAnsi="Arial" w:cs="Arial"/>
                <w:color w:val="385623" w:themeColor="accent6" w:themeShade="80"/>
              </w:rPr>
              <w:t xml:space="preserve">las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fibras naturales</w:t>
            </w:r>
            <w:r w:rsidR="00DB1A81" w:rsidRPr="00A86F32">
              <w:rPr>
                <w:rFonts w:ascii="Arial" w:hAnsi="Arial" w:cs="Arial"/>
                <w:color w:val="385623" w:themeColor="accent6" w:themeShade="80"/>
              </w:rPr>
              <w:t xml:space="preserve"> o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DB1A81" w:rsidRPr="00A86F32">
              <w:rPr>
                <w:rFonts w:ascii="Arial" w:hAnsi="Arial" w:cs="Arial"/>
                <w:color w:val="385623" w:themeColor="accent6" w:themeShade="80"/>
              </w:rPr>
              <w:t xml:space="preserve">las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plantas medicinales.</w:t>
            </w:r>
          </w:p>
        </w:tc>
        <w:tc>
          <w:tcPr>
            <w:tcW w:w="3136" w:type="dxa"/>
            <w:vAlign w:val="center"/>
          </w:tcPr>
          <w:p w14:paraId="7C067D8B" w14:textId="77777777" w:rsidR="00023B8C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noProof/>
                <w:color w:val="385623" w:themeColor="accent6" w:themeShade="80"/>
                <w:lang w:val="es-ES"/>
              </w:rPr>
              <w:drawing>
                <wp:inline distT="0" distB="0" distL="0" distR="0" wp14:anchorId="1933190E" wp14:editId="08032747">
                  <wp:extent cx="1848485" cy="1230440"/>
                  <wp:effectExtent l="0" t="0" r="5715" b="0"/>
                  <wp:docPr id="1" name="Imagen 1" descr="dasdd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dd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666" cy="123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B4AE3" w14:textId="77777777" w:rsidR="00337DFF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</w:p>
          <w:p w14:paraId="4B2D18B9" w14:textId="1C373BA5" w:rsidR="00337DFF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Hacer un montaje como este a partir de los vectores: 02H67589 y 02F45881.</w:t>
            </w:r>
          </w:p>
        </w:tc>
      </w:tr>
      <w:tr w:rsidR="00337DFF" w14:paraId="4D0263C0" w14:textId="77777777" w:rsidTr="00337DFF">
        <w:tc>
          <w:tcPr>
            <w:tcW w:w="1696" w:type="dxa"/>
            <w:vAlign w:val="center"/>
          </w:tcPr>
          <w:p w14:paraId="38A9926D" w14:textId="0BAD0DCE" w:rsidR="00023B8C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Recursos de recreación y esparcimiento</w:t>
            </w:r>
          </w:p>
        </w:tc>
        <w:tc>
          <w:tcPr>
            <w:tcW w:w="7938" w:type="dxa"/>
            <w:vAlign w:val="center"/>
          </w:tcPr>
          <w:p w14:paraId="5C634054" w14:textId="06DDF37F" w:rsidR="00023B8C" w:rsidRPr="00A86F32" w:rsidRDefault="001C7079" w:rsidP="00031515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on aquellos prestan un servicio de esparcimiento y </w:t>
            </w:r>
            <w:r w:rsidR="00031515" w:rsidRPr="00A86F32">
              <w:rPr>
                <w:rFonts w:ascii="Arial" w:hAnsi="Arial" w:cs="Arial"/>
                <w:color w:val="385623" w:themeColor="accent6" w:themeShade="80"/>
              </w:rPr>
              <w:t xml:space="preserve">aprovechar l,os tiempos de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ocio. Por ejemplo</w:t>
            </w:r>
            <w:r w:rsidR="00031515" w:rsidRPr="00A86F32">
              <w:rPr>
                <w:rFonts w:ascii="Arial" w:hAnsi="Arial" w:cs="Arial"/>
                <w:color w:val="385623" w:themeColor="accent6" w:themeShade="80"/>
              </w:rPr>
              <w:t>: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031515" w:rsidRPr="00A86F32">
              <w:rPr>
                <w:rFonts w:ascii="Arial" w:hAnsi="Arial" w:cs="Arial"/>
                <w:color w:val="385623" w:themeColor="accent6" w:themeShade="80"/>
              </w:rPr>
              <w:t xml:space="preserve">lugares turísticos como playas o reservas naturales,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mascotas, plantas ornamentales, etc.</w:t>
            </w:r>
          </w:p>
        </w:tc>
        <w:tc>
          <w:tcPr>
            <w:tcW w:w="3136" w:type="dxa"/>
            <w:vAlign w:val="center"/>
          </w:tcPr>
          <w:p w14:paraId="66A7C376" w14:textId="5D43D7A9" w:rsidR="00023B8C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03D33516</w:t>
            </w:r>
          </w:p>
        </w:tc>
      </w:tr>
      <w:tr w:rsidR="00337DFF" w14:paraId="29ADCB12" w14:textId="77777777" w:rsidTr="00337DFF">
        <w:tc>
          <w:tcPr>
            <w:tcW w:w="1696" w:type="dxa"/>
            <w:vAlign w:val="center"/>
          </w:tcPr>
          <w:p w14:paraId="623251E4" w14:textId="0298EDE8" w:rsidR="00337DFF" w:rsidRPr="00A86F32" w:rsidRDefault="001C7079">
            <w:pPr>
              <w:rPr>
                <w:rFonts w:ascii="Arial" w:hAnsi="Arial" w:cs="Arial"/>
                <w:b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b/>
                <w:color w:val="385623" w:themeColor="accent6" w:themeShade="80"/>
              </w:rPr>
              <w:t>Recursos culturales y estéticos</w:t>
            </w:r>
          </w:p>
        </w:tc>
        <w:tc>
          <w:tcPr>
            <w:tcW w:w="7938" w:type="dxa"/>
            <w:vAlign w:val="center"/>
          </w:tcPr>
          <w:p w14:paraId="3F7C8646" w14:textId="12F65091" w:rsidR="00337DFF" w:rsidRPr="00A86F32" w:rsidRDefault="00031515" w:rsidP="00A86F32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 xml:space="preserve">Incluyen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los recursos naturales que </w:t>
            </w:r>
            <w:r w:rsidR="00A86F32" w:rsidRPr="00A86F32">
              <w:rPr>
                <w:rFonts w:ascii="Arial" w:hAnsi="Arial" w:cs="Arial"/>
                <w:color w:val="385623" w:themeColor="accent6" w:themeShade="80"/>
              </w:rPr>
              <w:t>les permiten a las personas deleitar sus sentidos,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y </w:t>
            </w:r>
            <w:r w:rsidR="00A86F32" w:rsidRPr="00A86F32">
              <w:rPr>
                <w:rFonts w:ascii="Arial" w:hAnsi="Arial" w:cs="Arial"/>
                <w:color w:val="385623" w:themeColor="accent6" w:themeShade="80"/>
              </w:rPr>
              <w:t>a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>que</w:t>
            </w:r>
            <w:r w:rsidR="00A86F32" w:rsidRPr="00A86F32">
              <w:rPr>
                <w:rFonts w:ascii="Arial" w:hAnsi="Arial" w:cs="Arial"/>
                <w:color w:val="385623" w:themeColor="accent6" w:themeShade="80"/>
              </w:rPr>
              <w:t>llos que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sirven como fuente de </w:t>
            </w:r>
            <w:r w:rsidR="00A86F32" w:rsidRPr="00A86F32">
              <w:rPr>
                <w:rFonts w:ascii="Arial" w:hAnsi="Arial" w:cs="Arial"/>
                <w:color w:val="385623" w:themeColor="accent6" w:themeShade="80"/>
              </w:rPr>
              <w:t xml:space="preserve">inspiración a los artistas y de 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conocimiento </w:t>
            </w:r>
            <w:r w:rsidR="00A86F32" w:rsidRPr="00A86F32">
              <w:rPr>
                <w:rFonts w:ascii="Arial" w:hAnsi="Arial" w:cs="Arial"/>
                <w:color w:val="385623" w:themeColor="accent6" w:themeShade="80"/>
              </w:rPr>
              <w:t>a los</w:t>
            </w:r>
            <w:r w:rsidR="00337DFF" w:rsidRPr="00A86F32">
              <w:rPr>
                <w:rFonts w:ascii="Arial" w:hAnsi="Arial" w:cs="Arial"/>
                <w:color w:val="385623" w:themeColor="accent6" w:themeShade="80"/>
              </w:rPr>
              <w:t xml:space="preserve"> investigadores.</w:t>
            </w:r>
          </w:p>
        </w:tc>
        <w:tc>
          <w:tcPr>
            <w:tcW w:w="3136" w:type="dxa"/>
            <w:vAlign w:val="center"/>
          </w:tcPr>
          <w:p w14:paraId="2737FB3B" w14:textId="2D344962" w:rsidR="00337DFF" w:rsidRPr="00A86F32" w:rsidRDefault="00337DFF">
            <w:pPr>
              <w:rPr>
                <w:rFonts w:ascii="Arial" w:hAnsi="Arial" w:cs="Arial"/>
                <w:color w:val="385623" w:themeColor="accent6" w:themeShade="80"/>
              </w:rPr>
            </w:pPr>
            <w:r w:rsidRPr="00A86F32">
              <w:rPr>
                <w:rFonts w:ascii="Arial" w:hAnsi="Arial" w:cs="Arial"/>
                <w:color w:val="385623" w:themeColor="accent6" w:themeShade="80"/>
              </w:rPr>
              <w:t>02E71229</w:t>
            </w:r>
          </w:p>
        </w:tc>
      </w:tr>
    </w:tbl>
    <w:p w14:paraId="00E83464" w14:textId="77777777" w:rsidR="001F11A8" w:rsidRPr="001F11A8" w:rsidRDefault="001F11A8" w:rsidP="00337DFF">
      <w:pPr>
        <w:rPr>
          <w:rFonts w:ascii="Arial" w:hAnsi="Arial" w:cs="Arial"/>
        </w:rPr>
      </w:pPr>
    </w:p>
    <w:sectPr w:rsidR="001F11A8" w:rsidRPr="001F11A8" w:rsidSect="00337D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7BB1"/>
    <w:multiLevelType w:val="hybridMultilevel"/>
    <w:tmpl w:val="15608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04A22"/>
    <w:multiLevelType w:val="hybridMultilevel"/>
    <w:tmpl w:val="76E8FE14"/>
    <w:lvl w:ilvl="0" w:tplc="795C5572">
      <w:numFmt w:val="bullet"/>
      <w:lvlText w:val="•"/>
      <w:lvlJc w:val="left"/>
      <w:pPr>
        <w:ind w:left="1060" w:hanging="70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A8"/>
    <w:rsid w:val="00023B8C"/>
    <w:rsid w:val="000260DE"/>
    <w:rsid w:val="00031515"/>
    <w:rsid w:val="00043275"/>
    <w:rsid w:val="000538A6"/>
    <w:rsid w:val="00056563"/>
    <w:rsid w:val="000673D0"/>
    <w:rsid w:val="000956E1"/>
    <w:rsid w:val="000A4AAA"/>
    <w:rsid w:val="000B7A9C"/>
    <w:rsid w:val="000E330B"/>
    <w:rsid w:val="0010122B"/>
    <w:rsid w:val="00155F7C"/>
    <w:rsid w:val="00162F9C"/>
    <w:rsid w:val="00163C4A"/>
    <w:rsid w:val="0018113C"/>
    <w:rsid w:val="001C7079"/>
    <w:rsid w:val="001E4359"/>
    <w:rsid w:val="001F11A8"/>
    <w:rsid w:val="002316B9"/>
    <w:rsid w:val="00292275"/>
    <w:rsid w:val="0031067E"/>
    <w:rsid w:val="00337DFF"/>
    <w:rsid w:val="00350CF1"/>
    <w:rsid w:val="00373921"/>
    <w:rsid w:val="00383196"/>
    <w:rsid w:val="003A6224"/>
    <w:rsid w:val="003E6561"/>
    <w:rsid w:val="00437BED"/>
    <w:rsid w:val="00453CE4"/>
    <w:rsid w:val="00456F3E"/>
    <w:rsid w:val="004A233C"/>
    <w:rsid w:val="004E6B6E"/>
    <w:rsid w:val="004E6FBC"/>
    <w:rsid w:val="005A0D7D"/>
    <w:rsid w:val="005B20A9"/>
    <w:rsid w:val="005B5C8A"/>
    <w:rsid w:val="00656431"/>
    <w:rsid w:val="00672A85"/>
    <w:rsid w:val="006C449A"/>
    <w:rsid w:val="006E79C2"/>
    <w:rsid w:val="007554D5"/>
    <w:rsid w:val="00756277"/>
    <w:rsid w:val="007B1A54"/>
    <w:rsid w:val="007F70E6"/>
    <w:rsid w:val="00822346"/>
    <w:rsid w:val="008264D6"/>
    <w:rsid w:val="0086396F"/>
    <w:rsid w:val="0088234C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86F32"/>
    <w:rsid w:val="00AA5AF5"/>
    <w:rsid w:val="00AD462A"/>
    <w:rsid w:val="00B456F8"/>
    <w:rsid w:val="00B56BB5"/>
    <w:rsid w:val="00B65BB6"/>
    <w:rsid w:val="00B70466"/>
    <w:rsid w:val="00BA0CEB"/>
    <w:rsid w:val="00BB32BA"/>
    <w:rsid w:val="00BC3394"/>
    <w:rsid w:val="00C1031A"/>
    <w:rsid w:val="00C208D5"/>
    <w:rsid w:val="00C279A0"/>
    <w:rsid w:val="00C35022"/>
    <w:rsid w:val="00C419D0"/>
    <w:rsid w:val="00C9612B"/>
    <w:rsid w:val="00CA015A"/>
    <w:rsid w:val="00CB0932"/>
    <w:rsid w:val="00CB5FE5"/>
    <w:rsid w:val="00CB672C"/>
    <w:rsid w:val="00CD5ABB"/>
    <w:rsid w:val="00D20C96"/>
    <w:rsid w:val="00D33ABE"/>
    <w:rsid w:val="00DB1A81"/>
    <w:rsid w:val="00DD7FB2"/>
    <w:rsid w:val="00DF0FDB"/>
    <w:rsid w:val="00E23A65"/>
    <w:rsid w:val="00E330AD"/>
    <w:rsid w:val="00E34BE5"/>
    <w:rsid w:val="00E600F9"/>
    <w:rsid w:val="00E82C13"/>
    <w:rsid w:val="00E930DC"/>
    <w:rsid w:val="00ED379C"/>
    <w:rsid w:val="00F106FB"/>
    <w:rsid w:val="00F35E18"/>
    <w:rsid w:val="00F443FB"/>
    <w:rsid w:val="00FA6DC2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356C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359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61</cp:revision>
  <dcterms:created xsi:type="dcterms:W3CDTF">2018-03-15T15:18:00Z</dcterms:created>
  <dcterms:modified xsi:type="dcterms:W3CDTF">2018-07-16T19:05:00Z</dcterms:modified>
</cp:coreProperties>
</file>